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ook w:val="04A0"/>
      </w:tblPr>
      <w:tblGrid>
        <w:gridCol w:w="1949"/>
        <w:gridCol w:w="5388"/>
        <w:gridCol w:w="1953"/>
      </w:tblGrid>
      <w:tr w:rsidR="0097042C" w:rsidRPr="00B76693" w:rsidTr="00F92267">
        <w:trPr>
          <w:trHeight w:val="993"/>
          <w:jc w:val="center"/>
        </w:trPr>
        <w:tc>
          <w:tcPr>
            <w:tcW w:w="1951" w:type="dxa"/>
            <w:vMerge w:val="restart"/>
            <w:shd w:val="clear" w:color="auto" w:fill="auto"/>
          </w:tcPr>
          <w:p w:rsidR="0097042C" w:rsidRPr="00B76693" w:rsidRDefault="0097042C" w:rsidP="00F92267">
            <w:pPr>
              <w:rPr>
                <w:rFonts w:ascii="Aptos" w:hAnsi="Aptos"/>
                <w:b/>
                <w:i/>
                <w:szCs w:val="18"/>
              </w:rPr>
            </w:pPr>
            <w:r w:rsidRPr="00B76693">
              <w:rPr>
                <w:rFonts w:ascii="Aptos" w:hAnsi="Aptos"/>
                <w:b/>
                <w:i/>
                <w:noProof/>
                <w:szCs w:val="18"/>
                <w:lang w:eastAsia="ro-RO"/>
              </w:rPr>
              <w:drawing>
                <wp:inline distT="0" distB="0" distL="0" distR="0">
                  <wp:extent cx="1083600" cy="1098000"/>
                  <wp:effectExtent l="0" t="0" r="0" b="0"/>
                  <wp:docPr id="1254892479" name="Picture 2" descr="A logo with a building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892479" name="Picture 2" descr="A logo with a building and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83600" cy="1098000"/>
                          </a:xfrm>
                          <a:prstGeom prst="rect">
                            <a:avLst/>
                          </a:prstGeom>
                          <a:noFill/>
                          <a:ln>
                            <a:noFill/>
                          </a:ln>
                        </pic:spPr>
                      </pic:pic>
                    </a:graphicData>
                  </a:graphic>
                </wp:inline>
              </w:drawing>
            </w:r>
          </w:p>
        </w:tc>
        <w:tc>
          <w:tcPr>
            <w:tcW w:w="5670" w:type="dxa"/>
            <w:shd w:val="clear" w:color="auto" w:fill="auto"/>
            <w:vAlign w:val="center"/>
          </w:tcPr>
          <w:p w:rsidR="0097042C" w:rsidRPr="00B76693" w:rsidRDefault="0097042C" w:rsidP="00F92267">
            <w:pPr>
              <w:jc w:val="center"/>
              <w:rPr>
                <w:rFonts w:ascii="Aptos" w:hAnsi="Aptos"/>
                <w:b/>
                <w:i/>
                <w:szCs w:val="18"/>
              </w:rPr>
            </w:pPr>
            <w:r w:rsidRPr="00B76693">
              <w:rPr>
                <w:rFonts w:ascii="Aptos" w:hAnsi="Aptos"/>
                <w:b/>
                <w:iCs/>
                <w:szCs w:val="18"/>
              </w:rPr>
              <w:t>UNIVERSITATEA NAȚIONALĂ DE ȘTIINȚĂ ȘI TEHNOLOGIE POLITEHNICA BUCUREȘTI</w:t>
            </w:r>
          </w:p>
        </w:tc>
        <w:tc>
          <w:tcPr>
            <w:tcW w:w="1955" w:type="dxa"/>
            <w:vMerge w:val="restart"/>
            <w:shd w:val="clear" w:color="auto" w:fill="auto"/>
          </w:tcPr>
          <w:p w:rsidR="0097042C" w:rsidRPr="00B76693" w:rsidRDefault="0097042C" w:rsidP="00F92267">
            <w:pPr>
              <w:rPr>
                <w:rFonts w:ascii="Aptos" w:hAnsi="Aptos"/>
                <w:b/>
                <w:i/>
                <w:szCs w:val="18"/>
              </w:rPr>
            </w:pPr>
            <w:r w:rsidRPr="00B76693">
              <w:rPr>
                <w:rFonts w:ascii="Aptos" w:hAnsi="Aptos"/>
                <w:b/>
                <w:i/>
                <w:noProof/>
                <w:szCs w:val="18"/>
                <w:lang w:eastAsia="ro-RO"/>
              </w:rPr>
              <w:drawing>
                <wp:inline distT="0" distB="0" distL="0" distR="0">
                  <wp:extent cx="1090800" cy="1090800"/>
                  <wp:effectExtent l="0" t="0" r="0" b="0"/>
                  <wp:docPr id="90238340" name="Picture 1" descr="A circular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38340" name="Picture 1" descr="A circular logo with a tree and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90800" cy="1090800"/>
                          </a:xfrm>
                          <a:prstGeom prst="rect">
                            <a:avLst/>
                          </a:prstGeom>
                          <a:noFill/>
                          <a:ln>
                            <a:noFill/>
                          </a:ln>
                        </pic:spPr>
                      </pic:pic>
                    </a:graphicData>
                  </a:graphic>
                </wp:inline>
              </w:drawing>
            </w:r>
          </w:p>
        </w:tc>
      </w:tr>
      <w:tr w:rsidR="0097042C" w:rsidRPr="00B76693" w:rsidTr="00F92267">
        <w:trPr>
          <w:jc w:val="center"/>
        </w:trPr>
        <w:tc>
          <w:tcPr>
            <w:tcW w:w="1951" w:type="dxa"/>
            <w:vMerge/>
            <w:shd w:val="clear" w:color="auto" w:fill="auto"/>
          </w:tcPr>
          <w:p w:rsidR="0097042C" w:rsidRPr="00B76693" w:rsidRDefault="0097042C" w:rsidP="00F92267">
            <w:pPr>
              <w:rPr>
                <w:rFonts w:ascii="Aptos" w:hAnsi="Aptos"/>
                <w:b/>
                <w:i/>
                <w:szCs w:val="18"/>
              </w:rPr>
            </w:pPr>
          </w:p>
        </w:tc>
        <w:tc>
          <w:tcPr>
            <w:tcW w:w="5670" w:type="dxa"/>
            <w:shd w:val="clear" w:color="auto" w:fill="auto"/>
          </w:tcPr>
          <w:p w:rsidR="0097042C" w:rsidRPr="00B76693" w:rsidRDefault="0097042C" w:rsidP="00F92267">
            <w:pPr>
              <w:jc w:val="center"/>
              <w:rPr>
                <w:rFonts w:ascii="Aptos" w:hAnsi="Aptos"/>
                <w:b/>
                <w:iCs/>
                <w:szCs w:val="18"/>
              </w:rPr>
            </w:pPr>
            <w:r w:rsidRPr="00B76693">
              <w:rPr>
                <w:rFonts w:ascii="Aptos" w:hAnsi="Aptos"/>
                <w:b/>
                <w:iCs/>
                <w:szCs w:val="18"/>
              </w:rPr>
              <w:t>Facultatea de Științe, Educație Fizică și Informatică</w:t>
            </w:r>
          </w:p>
          <w:p w:rsidR="0097042C" w:rsidRPr="00B76693" w:rsidRDefault="0097042C" w:rsidP="00F92267">
            <w:pPr>
              <w:jc w:val="center"/>
              <w:rPr>
                <w:rFonts w:ascii="Aptos" w:hAnsi="Aptos"/>
                <w:b/>
                <w:i/>
                <w:szCs w:val="18"/>
              </w:rPr>
            </w:pPr>
            <w:r w:rsidRPr="00B76693">
              <w:rPr>
                <w:rFonts w:ascii="Aptos" w:hAnsi="Aptos"/>
                <w:b/>
                <w:i/>
                <w:szCs w:val="18"/>
              </w:rPr>
              <w:t xml:space="preserve">Departamentul de </w:t>
            </w:r>
            <w:r w:rsidR="002C0E8C">
              <w:rPr>
                <w:rFonts w:ascii="Aptos" w:hAnsi="Aptos"/>
                <w:b/>
                <w:i/>
                <w:szCs w:val="18"/>
              </w:rPr>
              <w:t>Educație Fizică și Sport</w:t>
            </w:r>
          </w:p>
        </w:tc>
        <w:tc>
          <w:tcPr>
            <w:tcW w:w="1955" w:type="dxa"/>
            <w:vMerge/>
            <w:shd w:val="clear" w:color="auto" w:fill="auto"/>
          </w:tcPr>
          <w:p w:rsidR="0097042C" w:rsidRPr="00B76693" w:rsidRDefault="0097042C" w:rsidP="00F92267">
            <w:pPr>
              <w:rPr>
                <w:rFonts w:ascii="Aptos" w:hAnsi="Aptos"/>
                <w:b/>
                <w:i/>
                <w:szCs w:val="18"/>
              </w:rPr>
            </w:pPr>
          </w:p>
        </w:tc>
      </w:tr>
    </w:tbl>
    <w:p w:rsidR="00075D89" w:rsidRPr="00B76693" w:rsidRDefault="00075D89">
      <w:pPr>
        <w:ind w:left="204"/>
        <w:rPr>
          <w:rFonts w:ascii="Aptos" w:hAnsi="Aptos"/>
          <w:sz w:val="20"/>
        </w:rPr>
      </w:pPr>
    </w:p>
    <w:p w:rsidR="00075D89" w:rsidRPr="00B76693" w:rsidRDefault="00075D89">
      <w:pPr>
        <w:spacing w:before="10"/>
        <w:rPr>
          <w:rFonts w:ascii="Aptos" w:hAnsi="Aptos"/>
          <w:sz w:val="27"/>
        </w:rPr>
      </w:pPr>
    </w:p>
    <w:p w:rsidR="00B76693" w:rsidRDefault="00851E99" w:rsidP="002C0E8C">
      <w:pPr>
        <w:pStyle w:val="BodyText"/>
        <w:spacing w:line="360" w:lineRule="auto"/>
        <w:jc w:val="center"/>
        <w:rPr>
          <w:rFonts w:ascii="Aptos" w:hAnsi="Aptos"/>
          <w:spacing w:val="-1"/>
        </w:rPr>
      </w:pPr>
      <w:r w:rsidRPr="00B76693">
        <w:rPr>
          <w:rFonts w:ascii="Aptos" w:hAnsi="Aptos"/>
        </w:rPr>
        <w:t>Strategia</w:t>
      </w:r>
      <w:r w:rsidR="002C0E8C">
        <w:rPr>
          <w:rFonts w:ascii="Aptos" w:hAnsi="Aptos"/>
        </w:rPr>
        <w:t xml:space="preserve"> </w:t>
      </w:r>
      <w:r w:rsidRPr="00B76693">
        <w:rPr>
          <w:rFonts w:ascii="Aptos" w:hAnsi="Aptos"/>
        </w:rPr>
        <w:t>de</w:t>
      </w:r>
      <w:r w:rsidR="002C0E8C">
        <w:rPr>
          <w:rFonts w:ascii="Aptos" w:hAnsi="Aptos"/>
        </w:rPr>
        <w:t xml:space="preserve"> </w:t>
      </w:r>
      <w:r w:rsidRPr="00B76693">
        <w:rPr>
          <w:rFonts w:ascii="Aptos" w:hAnsi="Aptos"/>
        </w:rPr>
        <w:t>cercetare</w:t>
      </w:r>
      <w:r w:rsidR="002C0E8C">
        <w:rPr>
          <w:rFonts w:ascii="Aptos" w:hAnsi="Aptos"/>
        </w:rPr>
        <w:t xml:space="preserve"> </w:t>
      </w:r>
      <w:r w:rsidR="00380261" w:rsidRPr="00B76693">
        <w:rPr>
          <w:rFonts w:ascii="Aptos" w:hAnsi="Aptos"/>
        </w:rPr>
        <w:t>științifică</w:t>
      </w:r>
    </w:p>
    <w:p w:rsidR="00075D89" w:rsidRPr="00B76693" w:rsidRDefault="002C0E8C" w:rsidP="002C0E8C">
      <w:pPr>
        <w:pStyle w:val="BodyText"/>
        <w:spacing w:line="360" w:lineRule="auto"/>
        <w:jc w:val="center"/>
        <w:rPr>
          <w:rFonts w:ascii="Aptos" w:hAnsi="Aptos"/>
        </w:rPr>
      </w:pPr>
      <w:r>
        <w:rPr>
          <w:rFonts w:ascii="Aptos" w:hAnsi="Aptos"/>
        </w:rPr>
        <w:t>a Departamentului de Educație Fizică și Sport</w:t>
      </w:r>
      <w:r w:rsidR="00807918" w:rsidRPr="00B76693">
        <w:rPr>
          <w:rFonts w:ascii="Aptos" w:hAnsi="Aptos"/>
        </w:rPr>
        <w:t xml:space="preserve">, </w:t>
      </w:r>
      <w:r w:rsidR="001F4AED" w:rsidRPr="00B76693">
        <w:rPr>
          <w:rFonts w:ascii="Aptos" w:hAnsi="Aptos"/>
        </w:rPr>
        <w:br/>
      </w:r>
      <w:r w:rsidR="00807918" w:rsidRPr="00B76693">
        <w:rPr>
          <w:rFonts w:ascii="Aptos" w:hAnsi="Aptos"/>
        </w:rPr>
        <w:t xml:space="preserve">valabilă pentru perioada </w:t>
      </w:r>
      <w:r w:rsidR="00851E99" w:rsidRPr="00B76693">
        <w:rPr>
          <w:rFonts w:ascii="Aptos" w:hAnsi="Aptos"/>
        </w:rPr>
        <w:t>20</w:t>
      </w:r>
      <w:r w:rsidR="00B76693" w:rsidRPr="00B76693">
        <w:rPr>
          <w:rFonts w:ascii="Aptos" w:hAnsi="Aptos"/>
        </w:rPr>
        <w:t>2</w:t>
      </w:r>
      <w:r w:rsidR="001F4AED" w:rsidRPr="00B76693">
        <w:rPr>
          <w:rFonts w:ascii="Aptos" w:hAnsi="Aptos"/>
        </w:rPr>
        <w:t>4</w:t>
      </w:r>
      <w:r w:rsidR="00851E99" w:rsidRPr="00B76693">
        <w:rPr>
          <w:rFonts w:ascii="Aptos" w:hAnsi="Aptos"/>
        </w:rPr>
        <w:t>-202</w:t>
      </w:r>
      <w:r>
        <w:rPr>
          <w:rFonts w:ascii="Aptos" w:hAnsi="Aptos"/>
        </w:rPr>
        <w:t>9</w:t>
      </w:r>
    </w:p>
    <w:p w:rsidR="00075D89" w:rsidRPr="00B76693" w:rsidRDefault="00075D89">
      <w:pPr>
        <w:rPr>
          <w:rFonts w:ascii="Aptos" w:hAnsi="Aptos"/>
          <w:b/>
          <w:sz w:val="20"/>
        </w:rPr>
      </w:pPr>
    </w:p>
    <w:p w:rsidR="00B76693" w:rsidRPr="00B76693" w:rsidRDefault="00B76693" w:rsidP="00B76693">
      <w:pPr>
        <w:ind w:firstLine="851"/>
        <w:jc w:val="both"/>
        <w:rPr>
          <w:rFonts w:ascii="Aptos" w:hAnsi="Aptos"/>
          <w:b/>
          <w:sz w:val="24"/>
          <w:szCs w:val="24"/>
        </w:rPr>
      </w:pPr>
    </w:p>
    <w:p w:rsidR="002C0E8C" w:rsidRDefault="002C0E8C" w:rsidP="002C0E8C">
      <w:pPr>
        <w:spacing w:line="360" w:lineRule="auto"/>
        <w:ind w:firstLine="720"/>
        <w:jc w:val="both"/>
        <w:rPr>
          <w:sz w:val="28"/>
          <w:szCs w:val="28"/>
        </w:rPr>
      </w:pPr>
      <w:r w:rsidRPr="002C0E8C">
        <w:rPr>
          <w:sz w:val="24"/>
          <w:szCs w:val="24"/>
        </w:rPr>
        <w:t>Învăţământul superior de educaţie fizică şi sport din Piteşti are o vechime şi, deja, o tradiţie, de peste 45 de ani în diverse forme de organizare. În prezent Departamentul de Educaţie Fizică şi Sport (DEFS) este componentă organizatorică a Facultăţii de Ştiințe, Educaţie Fizică şi Informatică a Universităţii Naționale de Știință și Tehnologie POLITEHNICA București, o</w:t>
      </w:r>
      <w:r w:rsidRPr="002C0E8C">
        <w:rPr>
          <w:color w:val="FF0000"/>
          <w:sz w:val="24"/>
          <w:szCs w:val="24"/>
        </w:rPr>
        <w:t xml:space="preserve"> </w:t>
      </w:r>
      <w:r w:rsidRPr="002C0E8C">
        <w:rPr>
          <w:sz w:val="24"/>
          <w:szCs w:val="24"/>
        </w:rPr>
        <w:t>unitate funcţională care gestionează programe de studiu pentru toate ciclurile de învățământ superior: două programe de licenţă, trei programe de master, unul de doctorat și unul de conversie profesională, toate acreditate ARACIS</w:t>
      </w:r>
      <w:r w:rsidRPr="00A60DF3">
        <w:rPr>
          <w:sz w:val="28"/>
          <w:szCs w:val="28"/>
        </w:rPr>
        <w:t xml:space="preserve">. </w:t>
      </w:r>
    </w:p>
    <w:p w:rsidR="002C0E8C" w:rsidRDefault="002C0E8C" w:rsidP="002C0E8C">
      <w:pPr>
        <w:adjustRightInd w:val="0"/>
        <w:spacing w:line="360" w:lineRule="auto"/>
        <w:ind w:firstLine="720"/>
        <w:jc w:val="both"/>
        <w:rPr>
          <w:sz w:val="24"/>
          <w:szCs w:val="24"/>
        </w:rPr>
      </w:pPr>
      <w:r w:rsidRPr="002C0E8C">
        <w:rPr>
          <w:sz w:val="24"/>
          <w:szCs w:val="24"/>
        </w:rPr>
        <w:t>Cercetarea ştiinţifică va viza direct desfăşurarea unei activităţi  specifice domeniului și inter și transdisciplinare prin lucrările de disertație, tezele de doctorat, asistență științifică de specialitate în comunitatea locală și națională, contracte de cercetare, granturi de cercetare.</w:t>
      </w:r>
    </w:p>
    <w:tbl>
      <w:tblPr>
        <w:tblStyle w:val="TableGrid"/>
        <w:tblW w:w="0" w:type="auto"/>
        <w:tblLook w:val="04A0"/>
      </w:tblPr>
      <w:tblGrid>
        <w:gridCol w:w="2322"/>
        <w:gridCol w:w="3598"/>
        <w:gridCol w:w="3260"/>
      </w:tblGrid>
      <w:tr w:rsidR="002F7EA4" w:rsidTr="002F7EA4">
        <w:tc>
          <w:tcPr>
            <w:tcW w:w="2322" w:type="dxa"/>
          </w:tcPr>
          <w:p w:rsidR="002F7EA4" w:rsidRPr="00F77EB0" w:rsidRDefault="002F7EA4" w:rsidP="00F77EB0">
            <w:pPr>
              <w:adjustRightInd w:val="0"/>
              <w:spacing w:line="360" w:lineRule="auto"/>
              <w:jc w:val="center"/>
              <w:rPr>
                <w:b/>
                <w:sz w:val="24"/>
                <w:szCs w:val="24"/>
              </w:rPr>
            </w:pPr>
            <w:r w:rsidRPr="00F77EB0">
              <w:rPr>
                <w:b/>
                <w:sz w:val="24"/>
                <w:szCs w:val="24"/>
              </w:rPr>
              <w:t>Obiective</w:t>
            </w:r>
          </w:p>
        </w:tc>
        <w:tc>
          <w:tcPr>
            <w:tcW w:w="3598" w:type="dxa"/>
          </w:tcPr>
          <w:p w:rsidR="002F7EA4" w:rsidRPr="00F77EB0" w:rsidRDefault="002F7EA4" w:rsidP="00F77EB0">
            <w:pPr>
              <w:adjustRightInd w:val="0"/>
              <w:spacing w:line="360" w:lineRule="auto"/>
              <w:jc w:val="center"/>
              <w:rPr>
                <w:b/>
                <w:sz w:val="24"/>
                <w:szCs w:val="24"/>
              </w:rPr>
            </w:pPr>
            <w:r w:rsidRPr="00F77EB0">
              <w:rPr>
                <w:b/>
                <w:sz w:val="24"/>
                <w:szCs w:val="24"/>
              </w:rPr>
              <w:t>Direcții de actiune</w:t>
            </w:r>
          </w:p>
        </w:tc>
        <w:tc>
          <w:tcPr>
            <w:tcW w:w="3260" w:type="dxa"/>
          </w:tcPr>
          <w:p w:rsidR="002F7EA4" w:rsidRPr="00F77EB0" w:rsidRDefault="002F7EA4" w:rsidP="00F77EB0">
            <w:pPr>
              <w:adjustRightInd w:val="0"/>
              <w:spacing w:line="360" w:lineRule="auto"/>
              <w:jc w:val="center"/>
              <w:rPr>
                <w:b/>
                <w:sz w:val="24"/>
                <w:szCs w:val="24"/>
              </w:rPr>
            </w:pPr>
            <w:r w:rsidRPr="00F77EB0">
              <w:rPr>
                <w:b/>
                <w:sz w:val="24"/>
                <w:szCs w:val="24"/>
              </w:rPr>
              <w:t>Rezultate așteptate</w:t>
            </w:r>
          </w:p>
        </w:tc>
      </w:tr>
      <w:tr w:rsidR="002F7EA4" w:rsidTr="002F7EA4">
        <w:tc>
          <w:tcPr>
            <w:tcW w:w="2322" w:type="dxa"/>
          </w:tcPr>
          <w:p w:rsidR="002F7EA4" w:rsidRPr="002F7EA4" w:rsidRDefault="002F7EA4" w:rsidP="002F7EA4">
            <w:pPr>
              <w:adjustRightInd w:val="0"/>
              <w:jc w:val="both"/>
              <w:rPr>
                <w:bCs/>
                <w:color w:val="000000"/>
                <w:sz w:val="24"/>
                <w:szCs w:val="24"/>
              </w:rPr>
            </w:pPr>
            <w:r w:rsidRPr="002C0E8C">
              <w:rPr>
                <w:bCs/>
                <w:color w:val="000000"/>
                <w:sz w:val="24"/>
                <w:szCs w:val="24"/>
              </w:rPr>
              <w:t>Stabilirea priorităţilor şi a direcţiilor de cercetare la nivel de departament pe programe de studii.</w:t>
            </w:r>
          </w:p>
        </w:tc>
        <w:tc>
          <w:tcPr>
            <w:tcW w:w="3598" w:type="dxa"/>
          </w:tcPr>
          <w:p w:rsidR="00F77EB0" w:rsidRDefault="00F77EB0" w:rsidP="002F7EA4">
            <w:pPr>
              <w:pStyle w:val="ListParagraph"/>
              <w:numPr>
                <w:ilvl w:val="0"/>
                <w:numId w:val="4"/>
              </w:numPr>
              <w:ind w:left="230" w:hanging="230"/>
              <w:rPr>
                <w:szCs w:val="28"/>
              </w:rPr>
            </w:pPr>
            <w:r>
              <w:rPr>
                <w:szCs w:val="28"/>
              </w:rPr>
              <w:t>c</w:t>
            </w:r>
            <w:r w:rsidRPr="009F7F52">
              <w:rPr>
                <w:szCs w:val="28"/>
              </w:rPr>
              <w:t>ontractele de cercetare in derulare sunt prezentate in planul strategic al departamentului,</w:t>
            </w:r>
          </w:p>
          <w:p w:rsidR="00F77EB0" w:rsidRPr="00F77EB0" w:rsidRDefault="00205EC1" w:rsidP="00F77EB0">
            <w:pPr>
              <w:pStyle w:val="ListParagraph"/>
              <w:numPr>
                <w:ilvl w:val="0"/>
                <w:numId w:val="4"/>
              </w:numPr>
              <w:ind w:left="230" w:hanging="230"/>
              <w:rPr>
                <w:szCs w:val="28"/>
              </w:rPr>
            </w:pPr>
            <w:r>
              <w:rPr>
                <w:szCs w:val="28"/>
              </w:rPr>
              <w:t>t</w:t>
            </w:r>
            <w:r w:rsidR="00F77EB0" w:rsidRPr="00F77EB0">
              <w:rPr>
                <w:szCs w:val="28"/>
              </w:rPr>
              <w:t>ematica de cercetare</w:t>
            </w:r>
          </w:p>
          <w:p w:rsidR="00F77EB0" w:rsidRPr="00F77EB0" w:rsidRDefault="00F77EB0" w:rsidP="00F77EB0">
            <w:pPr>
              <w:rPr>
                <w:szCs w:val="28"/>
              </w:rPr>
            </w:pPr>
            <w:r w:rsidRPr="009F7F52">
              <w:rPr>
                <w:szCs w:val="28"/>
              </w:rPr>
              <w:t>corelata cu domeniile de licenţă, master,  şcoală doctorală si CCPU</w:t>
            </w:r>
          </w:p>
          <w:p w:rsidR="002F7EA4" w:rsidRDefault="007709E6" w:rsidP="002F7EA4">
            <w:pPr>
              <w:pStyle w:val="ListParagraph"/>
              <w:numPr>
                <w:ilvl w:val="0"/>
                <w:numId w:val="4"/>
              </w:numPr>
              <w:ind w:left="230" w:hanging="230"/>
              <w:rPr>
                <w:szCs w:val="28"/>
              </w:rPr>
            </w:pPr>
            <w:r>
              <w:rPr>
                <w:szCs w:val="28"/>
              </w:rPr>
              <w:t>p</w:t>
            </w:r>
            <w:r w:rsidRPr="009F7F52">
              <w:rPr>
                <w:szCs w:val="28"/>
              </w:rPr>
              <w:t>roiecte pentru modernizarea laboratoarelor</w:t>
            </w:r>
          </w:p>
          <w:p w:rsidR="002F7EA4" w:rsidRPr="007709E6" w:rsidRDefault="007709E6" w:rsidP="007709E6">
            <w:pPr>
              <w:pStyle w:val="ListParagraph"/>
              <w:numPr>
                <w:ilvl w:val="0"/>
                <w:numId w:val="4"/>
              </w:numPr>
              <w:ind w:left="230" w:hanging="230"/>
              <w:rPr>
                <w:szCs w:val="28"/>
              </w:rPr>
            </w:pPr>
            <w:r>
              <w:rPr>
                <w:szCs w:val="28"/>
              </w:rPr>
              <w:t>p</w:t>
            </w:r>
            <w:r w:rsidRPr="007709E6">
              <w:rPr>
                <w:szCs w:val="28"/>
              </w:rPr>
              <w:t>roiecte ce implica tinerii in cercetare.</w:t>
            </w:r>
          </w:p>
        </w:tc>
        <w:tc>
          <w:tcPr>
            <w:tcW w:w="3260" w:type="dxa"/>
          </w:tcPr>
          <w:p w:rsidR="007709E6" w:rsidRDefault="007709E6" w:rsidP="007709E6">
            <w:pPr>
              <w:rPr>
                <w:szCs w:val="28"/>
              </w:rPr>
            </w:pPr>
            <w:r>
              <w:rPr>
                <w:szCs w:val="28"/>
              </w:rPr>
              <w:t xml:space="preserve">- </w:t>
            </w:r>
            <w:r w:rsidRPr="009F7F52">
              <w:rPr>
                <w:szCs w:val="28"/>
              </w:rPr>
              <w:t>finalizarea contractelor aflate in derulare;</w:t>
            </w:r>
          </w:p>
          <w:p w:rsidR="00080426" w:rsidRDefault="00080426" w:rsidP="00080426">
            <w:pPr>
              <w:rPr>
                <w:szCs w:val="28"/>
              </w:rPr>
            </w:pPr>
            <w:r>
              <w:rPr>
                <w:szCs w:val="28"/>
              </w:rPr>
              <w:t xml:space="preserve">- </w:t>
            </w:r>
            <w:r w:rsidRPr="009F7F52">
              <w:rPr>
                <w:szCs w:val="28"/>
              </w:rPr>
              <w:t>finalizarea l</w:t>
            </w:r>
            <w:r>
              <w:rPr>
                <w:szCs w:val="28"/>
              </w:rPr>
              <w:t>ucrărilor de disertaţie prin te</w:t>
            </w:r>
            <w:r w:rsidRPr="009F7F52">
              <w:rPr>
                <w:szCs w:val="28"/>
              </w:rPr>
              <w:t>mele derulate în cadrul departamentului/CCPU</w:t>
            </w:r>
          </w:p>
          <w:p w:rsidR="00080426" w:rsidRPr="009F7F52" w:rsidRDefault="00080426" w:rsidP="00080426">
            <w:pPr>
              <w:rPr>
                <w:szCs w:val="28"/>
              </w:rPr>
            </w:pPr>
          </w:p>
          <w:p w:rsidR="00080426" w:rsidRPr="009F7F52" w:rsidRDefault="00080426" w:rsidP="007709E6">
            <w:pPr>
              <w:rPr>
                <w:szCs w:val="28"/>
              </w:rPr>
            </w:pPr>
          </w:p>
          <w:p w:rsidR="002F7EA4" w:rsidRPr="007709E6" w:rsidRDefault="002F7EA4" w:rsidP="007709E6">
            <w:pPr>
              <w:rPr>
                <w:szCs w:val="28"/>
              </w:rPr>
            </w:pPr>
          </w:p>
        </w:tc>
      </w:tr>
      <w:tr w:rsidR="002F7EA4" w:rsidTr="002F7EA4">
        <w:tc>
          <w:tcPr>
            <w:tcW w:w="2322" w:type="dxa"/>
          </w:tcPr>
          <w:p w:rsidR="002F7EA4" w:rsidRPr="007709E6" w:rsidRDefault="007709E6" w:rsidP="007709E6">
            <w:pPr>
              <w:adjustRightInd w:val="0"/>
              <w:jc w:val="both"/>
              <w:rPr>
                <w:sz w:val="24"/>
                <w:szCs w:val="24"/>
              </w:rPr>
            </w:pPr>
            <w:r w:rsidRPr="007709E6">
              <w:rPr>
                <w:bCs/>
                <w:sz w:val="24"/>
                <w:szCs w:val="24"/>
              </w:rPr>
              <w:t xml:space="preserve">Sprijinirea activităţii de cercetare </w:t>
            </w:r>
          </w:p>
        </w:tc>
        <w:tc>
          <w:tcPr>
            <w:tcW w:w="3598" w:type="dxa"/>
          </w:tcPr>
          <w:p w:rsidR="007709E6" w:rsidRPr="007709E6" w:rsidRDefault="007709E6" w:rsidP="007709E6">
            <w:pPr>
              <w:jc w:val="both"/>
              <w:rPr>
                <w:sz w:val="24"/>
                <w:szCs w:val="24"/>
              </w:rPr>
            </w:pPr>
            <w:r>
              <w:rPr>
                <w:sz w:val="28"/>
                <w:szCs w:val="28"/>
              </w:rPr>
              <w:t xml:space="preserve">- </w:t>
            </w:r>
            <w:r w:rsidRPr="007709E6">
              <w:rPr>
                <w:sz w:val="24"/>
                <w:szCs w:val="24"/>
              </w:rPr>
              <w:t>formarea şi/sau consolidarea colectivelor de cercetare;</w:t>
            </w:r>
          </w:p>
          <w:p w:rsidR="007709E6" w:rsidRPr="007709E6" w:rsidRDefault="007709E6" w:rsidP="007709E6">
            <w:pPr>
              <w:jc w:val="both"/>
              <w:rPr>
                <w:sz w:val="24"/>
                <w:szCs w:val="24"/>
              </w:rPr>
            </w:pPr>
            <w:r w:rsidRPr="007709E6">
              <w:rPr>
                <w:sz w:val="24"/>
                <w:szCs w:val="24"/>
              </w:rPr>
              <w:t>- asigurarea condiţiilor optime pentru realizarea cercetării (spaţii, dotări, personal academic);</w:t>
            </w:r>
          </w:p>
          <w:p w:rsidR="007709E6" w:rsidRPr="007709E6" w:rsidRDefault="007709E6" w:rsidP="007709E6">
            <w:pPr>
              <w:jc w:val="both"/>
              <w:rPr>
                <w:sz w:val="24"/>
                <w:szCs w:val="24"/>
              </w:rPr>
            </w:pPr>
            <w:r w:rsidRPr="007709E6">
              <w:rPr>
                <w:sz w:val="24"/>
                <w:szCs w:val="24"/>
              </w:rPr>
              <w:t>- identificarea şi popularizarea resurselor de finanţare a cercetării și a căilor de acces la acestea;</w:t>
            </w:r>
          </w:p>
          <w:p w:rsidR="007709E6" w:rsidRPr="007709E6" w:rsidRDefault="007709E6" w:rsidP="007709E6">
            <w:pPr>
              <w:jc w:val="both"/>
              <w:rPr>
                <w:sz w:val="24"/>
                <w:szCs w:val="24"/>
              </w:rPr>
            </w:pPr>
            <w:r w:rsidRPr="007709E6">
              <w:rPr>
                <w:sz w:val="24"/>
                <w:szCs w:val="24"/>
              </w:rPr>
              <w:t xml:space="preserve">- crearea cadrului de emulație în </w:t>
            </w:r>
            <w:r w:rsidRPr="007709E6">
              <w:rPr>
                <w:sz w:val="24"/>
                <w:szCs w:val="24"/>
              </w:rPr>
              <w:lastRenderedPageBreak/>
              <w:t>rîndul a cadrelor</w:t>
            </w:r>
            <w:r w:rsidRPr="007709E6">
              <w:rPr>
                <w:color w:val="000000"/>
                <w:sz w:val="24"/>
                <w:szCs w:val="24"/>
              </w:rPr>
              <w:t xml:space="preserve"> didactice și a studențior prin </w:t>
            </w:r>
            <w:r w:rsidRPr="007709E6">
              <w:rPr>
                <w:sz w:val="24"/>
                <w:szCs w:val="24"/>
              </w:rPr>
              <w:t>sprijinirea participării la competiţiile pentru granturi naţionale şi/sau internaţionale;</w:t>
            </w:r>
          </w:p>
          <w:p w:rsidR="007709E6" w:rsidRPr="007709E6" w:rsidRDefault="007709E6" w:rsidP="007709E6">
            <w:pPr>
              <w:jc w:val="both"/>
              <w:rPr>
                <w:sz w:val="24"/>
                <w:szCs w:val="24"/>
              </w:rPr>
            </w:pPr>
            <w:r w:rsidRPr="007709E6">
              <w:rPr>
                <w:sz w:val="24"/>
                <w:szCs w:val="24"/>
              </w:rPr>
              <w:t>-  sprijinirea cooperării cu alte departamente din facultate, universitate, din alte universității din țară şi din străinătate;</w:t>
            </w:r>
          </w:p>
          <w:p w:rsidR="002F7EA4" w:rsidRDefault="007709E6" w:rsidP="007709E6">
            <w:pPr>
              <w:adjustRightInd w:val="0"/>
              <w:jc w:val="both"/>
              <w:rPr>
                <w:sz w:val="24"/>
                <w:szCs w:val="24"/>
              </w:rPr>
            </w:pPr>
            <w:r w:rsidRPr="007709E6">
              <w:rPr>
                <w:sz w:val="24"/>
                <w:szCs w:val="24"/>
              </w:rPr>
              <w:t>- sprijinirea cooperării cu instituţii precum: cluburi şi asociaţii sportive / structuri sportive de drept public și de drept privat/ instituții de învățămînt, structuri de sănătate, etc</w:t>
            </w:r>
          </w:p>
        </w:tc>
        <w:tc>
          <w:tcPr>
            <w:tcW w:w="3260" w:type="dxa"/>
          </w:tcPr>
          <w:p w:rsidR="00080426" w:rsidRPr="00080426" w:rsidRDefault="00080426" w:rsidP="00080426">
            <w:pPr>
              <w:rPr>
                <w:sz w:val="24"/>
                <w:szCs w:val="24"/>
              </w:rPr>
            </w:pPr>
            <w:r w:rsidRPr="00080426">
              <w:rPr>
                <w:sz w:val="24"/>
                <w:szCs w:val="24"/>
              </w:rPr>
              <w:lastRenderedPageBreak/>
              <w:t>- modernizarea  infrastructurii de cercetare</w:t>
            </w:r>
          </w:p>
          <w:p w:rsidR="002F7EA4" w:rsidRDefault="00080426" w:rsidP="00080426">
            <w:pPr>
              <w:adjustRightInd w:val="0"/>
              <w:jc w:val="both"/>
              <w:rPr>
                <w:sz w:val="24"/>
                <w:szCs w:val="24"/>
              </w:rPr>
            </w:pPr>
            <w:r w:rsidRPr="00080426">
              <w:rPr>
                <w:sz w:val="24"/>
                <w:szCs w:val="24"/>
              </w:rPr>
              <w:t>-</w:t>
            </w:r>
            <w:r>
              <w:rPr>
                <w:sz w:val="24"/>
                <w:szCs w:val="24"/>
              </w:rPr>
              <w:t xml:space="preserve"> </w:t>
            </w:r>
            <w:r w:rsidRPr="00080426">
              <w:rPr>
                <w:sz w:val="24"/>
                <w:szCs w:val="24"/>
              </w:rPr>
              <w:t>dezvoltarea laboratoarelor mutimedia şi multifunctionale utilizate in cercetarea aplicativa;</w:t>
            </w:r>
          </w:p>
          <w:p w:rsidR="00080426" w:rsidRPr="00080426" w:rsidRDefault="00080426" w:rsidP="00080426">
            <w:pPr>
              <w:rPr>
                <w:sz w:val="24"/>
                <w:szCs w:val="24"/>
              </w:rPr>
            </w:pPr>
            <w:r>
              <w:rPr>
                <w:szCs w:val="28"/>
              </w:rPr>
              <w:t xml:space="preserve">- </w:t>
            </w:r>
            <w:r w:rsidRPr="00080426">
              <w:rPr>
                <w:sz w:val="24"/>
                <w:szCs w:val="24"/>
              </w:rPr>
              <w:t>organizarea de sesiuni  ştiinţifice/conferinţe la nivel de departament pentru studenţi şi cadre didactice,</w:t>
            </w:r>
          </w:p>
          <w:p w:rsidR="00080426" w:rsidRDefault="00080426" w:rsidP="00080426">
            <w:pPr>
              <w:rPr>
                <w:bCs/>
                <w:sz w:val="24"/>
                <w:szCs w:val="24"/>
              </w:rPr>
            </w:pPr>
            <w:r>
              <w:rPr>
                <w:bCs/>
                <w:szCs w:val="28"/>
              </w:rPr>
              <w:lastRenderedPageBreak/>
              <w:t xml:space="preserve">- </w:t>
            </w:r>
            <w:r w:rsidRPr="00080426">
              <w:rPr>
                <w:bCs/>
                <w:sz w:val="24"/>
                <w:szCs w:val="24"/>
              </w:rPr>
              <w:t>contracte de cercetare /servicii de monitorizare ca ofertă pentru  mediul local /naţional, cluburi sportive, federaţii de specialitate</w:t>
            </w:r>
          </w:p>
          <w:p w:rsidR="00080426" w:rsidRDefault="00080426" w:rsidP="00080426">
            <w:pPr>
              <w:rPr>
                <w:bCs/>
                <w:szCs w:val="28"/>
              </w:rPr>
            </w:pPr>
            <w:r w:rsidRPr="00080426">
              <w:rPr>
                <w:bCs/>
                <w:sz w:val="24"/>
                <w:szCs w:val="24"/>
              </w:rPr>
              <w:t>- parteneriate cu facultăţi şi centre de profil din ţară şi internaţional</w:t>
            </w:r>
            <w:r w:rsidRPr="009F7F52">
              <w:rPr>
                <w:bCs/>
                <w:szCs w:val="28"/>
              </w:rPr>
              <w:t>.</w:t>
            </w:r>
          </w:p>
          <w:p w:rsidR="00080426" w:rsidRPr="009F7F52" w:rsidRDefault="00080426" w:rsidP="00080426">
            <w:pPr>
              <w:rPr>
                <w:szCs w:val="28"/>
              </w:rPr>
            </w:pPr>
            <w:r w:rsidRPr="00080426">
              <w:rPr>
                <w:sz w:val="24"/>
                <w:szCs w:val="24"/>
              </w:rPr>
              <w:t>- obţinerea atestării de noi conducători de doctorat</w:t>
            </w:r>
            <w:r w:rsidRPr="009F7F52">
              <w:rPr>
                <w:szCs w:val="28"/>
              </w:rPr>
              <w:t>,</w:t>
            </w:r>
          </w:p>
          <w:p w:rsidR="00080426" w:rsidRPr="009F7F52" w:rsidRDefault="00080426" w:rsidP="00080426">
            <w:pPr>
              <w:rPr>
                <w:bCs/>
                <w:szCs w:val="28"/>
              </w:rPr>
            </w:pPr>
          </w:p>
          <w:p w:rsidR="00080426" w:rsidRPr="009F7F52" w:rsidRDefault="00080426" w:rsidP="00080426">
            <w:pPr>
              <w:rPr>
                <w:bCs/>
                <w:szCs w:val="28"/>
              </w:rPr>
            </w:pPr>
          </w:p>
          <w:p w:rsidR="00080426" w:rsidRDefault="00080426" w:rsidP="00080426">
            <w:pPr>
              <w:adjustRightInd w:val="0"/>
              <w:jc w:val="both"/>
              <w:rPr>
                <w:sz w:val="24"/>
                <w:szCs w:val="24"/>
              </w:rPr>
            </w:pPr>
          </w:p>
        </w:tc>
      </w:tr>
      <w:tr w:rsidR="00D54B63" w:rsidTr="000C76B1">
        <w:tc>
          <w:tcPr>
            <w:tcW w:w="2322" w:type="dxa"/>
          </w:tcPr>
          <w:p w:rsidR="00D54B63" w:rsidRPr="00080426" w:rsidRDefault="00D54B63" w:rsidP="00080426">
            <w:pPr>
              <w:adjustRightInd w:val="0"/>
              <w:jc w:val="both"/>
              <w:rPr>
                <w:sz w:val="24"/>
                <w:szCs w:val="24"/>
              </w:rPr>
            </w:pPr>
            <w:r w:rsidRPr="00080426">
              <w:rPr>
                <w:sz w:val="24"/>
                <w:szCs w:val="24"/>
              </w:rPr>
              <w:lastRenderedPageBreak/>
              <w:t>Creşterea capacităţii interne de cercetare / comunicare / publicare şi de atragerea a unor potenţiali colaboratori interni şi internaţionali</w:t>
            </w:r>
          </w:p>
        </w:tc>
        <w:tc>
          <w:tcPr>
            <w:tcW w:w="3598" w:type="dxa"/>
          </w:tcPr>
          <w:p w:rsidR="00D54B63" w:rsidRPr="00080426" w:rsidRDefault="00D54B63" w:rsidP="00D54B63">
            <w:pPr>
              <w:jc w:val="both"/>
              <w:rPr>
                <w:sz w:val="24"/>
                <w:szCs w:val="24"/>
              </w:rPr>
            </w:pPr>
            <w:r w:rsidRPr="00080426">
              <w:rPr>
                <w:sz w:val="24"/>
                <w:szCs w:val="24"/>
              </w:rPr>
              <w:t>- Participarea la conferinţe naţionale şi internaţionale,</w:t>
            </w:r>
          </w:p>
          <w:p w:rsidR="00D54B63" w:rsidRDefault="00D54B63" w:rsidP="00D54B63">
            <w:pPr>
              <w:adjustRightInd w:val="0"/>
              <w:jc w:val="both"/>
              <w:rPr>
                <w:sz w:val="24"/>
                <w:szCs w:val="24"/>
              </w:rPr>
            </w:pPr>
            <w:r>
              <w:rPr>
                <w:sz w:val="24"/>
                <w:szCs w:val="24"/>
              </w:rPr>
              <w:t xml:space="preserve">- Organizarea </w:t>
            </w:r>
            <w:r w:rsidRPr="00080426">
              <w:rPr>
                <w:sz w:val="24"/>
                <w:szCs w:val="24"/>
              </w:rPr>
              <w:t>Conferinţei Internaţionale Anuale ,,Physical Education Sport and Health</w:t>
            </w:r>
          </w:p>
        </w:tc>
        <w:tc>
          <w:tcPr>
            <w:tcW w:w="3260" w:type="dxa"/>
            <w:vAlign w:val="center"/>
          </w:tcPr>
          <w:p w:rsidR="00D54B63" w:rsidRPr="009F7F52" w:rsidRDefault="00D54B63" w:rsidP="00D54B63">
            <w:pPr>
              <w:jc w:val="both"/>
              <w:rPr>
                <w:szCs w:val="28"/>
              </w:rPr>
            </w:pPr>
            <w:r w:rsidRPr="00D54B63">
              <w:rPr>
                <w:sz w:val="24"/>
                <w:szCs w:val="24"/>
              </w:rPr>
              <w:t>Creşterea capacităţii de publicare ştiinţifică şi a vizibilităţii internaţionale a revistei ,,Journal of Physical Education and Sport” prin promovarae cercetări Româneşti în domeniu</w:t>
            </w:r>
            <w:r>
              <w:rPr>
                <w:szCs w:val="28"/>
              </w:rPr>
              <w:t>.</w:t>
            </w:r>
          </w:p>
        </w:tc>
      </w:tr>
      <w:tr w:rsidR="00205EC1" w:rsidTr="000C76B1">
        <w:tc>
          <w:tcPr>
            <w:tcW w:w="2322" w:type="dxa"/>
          </w:tcPr>
          <w:p w:rsidR="00205EC1" w:rsidRPr="00080426" w:rsidRDefault="00205EC1" w:rsidP="00080426">
            <w:pPr>
              <w:adjustRightInd w:val="0"/>
              <w:jc w:val="both"/>
              <w:rPr>
                <w:sz w:val="24"/>
                <w:szCs w:val="24"/>
              </w:rPr>
            </w:pPr>
            <w:r w:rsidRPr="009F7F52">
              <w:rPr>
                <w:szCs w:val="28"/>
              </w:rPr>
              <w:t>Creşterea calităţii rezultatelor cercetării şi  publicarea lor în reviste naţionale sau internaţionale indexate/cotate ISI, ISI Proceedings sau BDI recunoscute</w:t>
            </w:r>
          </w:p>
        </w:tc>
        <w:tc>
          <w:tcPr>
            <w:tcW w:w="3598" w:type="dxa"/>
          </w:tcPr>
          <w:p w:rsidR="00205EC1" w:rsidRPr="00205EC1" w:rsidRDefault="00205EC1" w:rsidP="00205EC1">
            <w:pPr>
              <w:pStyle w:val="ListParagraph"/>
              <w:numPr>
                <w:ilvl w:val="0"/>
                <w:numId w:val="4"/>
              </w:numPr>
              <w:adjustRightInd w:val="0"/>
              <w:ind w:left="230" w:hanging="230"/>
              <w:jc w:val="both"/>
              <w:rPr>
                <w:sz w:val="24"/>
                <w:szCs w:val="24"/>
              </w:rPr>
            </w:pPr>
            <w:r w:rsidRPr="00205EC1">
              <w:rPr>
                <w:bCs/>
                <w:sz w:val="24"/>
                <w:szCs w:val="24"/>
              </w:rPr>
              <w:t>Utilizarea în mai mare măsură a potenţialului</w:t>
            </w:r>
            <w:r>
              <w:rPr>
                <w:bCs/>
                <w:sz w:val="24"/>
                <w:szCs w:val="24"/>
              </w:rPr>
              <w:t xml:space="preserve"> cadrelor didactice și a</w:t>
            </w:r>
            <w:r w:rsidRPr="00205EC1">
              <w:rPr>
                <w:bCs/>
                <w:sz w:val="24"/>
                <w:szCs w:val="24"/>
              </w:rPr>
              <w:t xml:space="preserve"> studenţilor în realizarea activităţii de cercetare.</w:t>
            </w:r>
          </w:p>
          <w:p w:rsidR="00205EC1" w:rsidRPr="00080426" w:rsidRDefault="00205EC1" w:rsidP="00D54B63">
            <w:pPr>
              <w:jc w:val="both"/>
              <w:rPr>
                <w:sz w:val="24"/>
                <w:szCs w:val="24"/>
              </w:rPr>
            </w:pPr>
          </w:p>
        </w:tc>
        <w:tc>
          <w:tcPr>
            <w:tcW w:w="3260" w:type="dxa"/>
            <w:vAlign w:val="center"/>
          </w:tcPr>
          <w:p w:rsidR="00205EC1" w:rsidRPr="00D54B63" w:rsidRDefault="00205EC1" w:rsidP="00D54B63">
            <w:pPr>
              <w:jc w:val="both"/>
              <w:rPr>
                <w:sz w:val="24"/>
                <w:szCs w:val="24"/>
              </w:rPr>
            </w:pPr>
            <w:r>
              <w:rPr>
                <w:szCs w:val="28"/>
                <w:lang w:val="en-US"/>
              </w:rPr>
              <w:t>P</w:t>
            </w:r>
            <w:r w:rsidRPr="009F7F52">
              <w:rPr>
                <w:szCs w:val="28"/>
              </w:rPr>
              <w:t xml:space="preserve">ublicaţii ştiinţifice in reviste </w:t>
            </w:r>
            <w:r>
              <w:rPr>
                <w:szCs w:val="28"/>
              </w:rPr>
              <w:t xml:space="preserve">indexate ISI , BDI </w:t>
            </w:r>
            <w:r w:rsidRPr="009F7F52">
              <w:rPr>
                <w:szCs w:val="28"/>
              </w:rPr>
              <w:t>s</w:t>
            </w:r>
            <w:r>
              <w:rPr>
                <w:szCs w:val="28"/>
              </w:rPr>
              <w:t>i edituri recunoscute</w:t>
            </w:r>
            <w:r w:rsidRPr="009F7F52">
              <w:rPr>
                <w:szCs w:val="28"/>
              </w:rPr>
              <w:t xml:space="preserve"> internaţional</w:t>
            </w:r>
          </w:p>
        </w:tc>
      </w:tr>
      <w:tr w:rsidR="00D54B63" w:rsidTr="002F7EA4">
        <w:tc>
          <w:tcPr>
            <w:tcW w:w="2322" w:type="dxa"/>
          </w:tcPr>
          <w:p w:rsidR="00D54B63" w:rsidRPr="00F77EB0" w:rsidRDefault="00F77EB0" w:rsidP="00F77EB0">
            <w:pPr>
              <w:adjustRightInd w:val="0"/>
              <w:jc w:val="both"/>
              <w:rPr>
                <w:sz w:val="24"/>
                <w:szCs w:val="24"/>
              </w:rPr>
            </w:pPr>
            <w:r w:rsidRPr="00F77EB0">
              <w:rPr>
                <w:sz w:val="24"/>
              </w:rPr>
              <w:t>Reconstruirea bazei de date cu rezultatele</w:t>
            </w:r>
            <w:r>
              <w:rPr>
                <w:sz w:val="24"/>
              </w:rPr>
              <w:t xml:space="preserve"> </w:t>
            </w:r>
            <w:r w:rsidRPr="00F77EB0">
              <w:rPr>
                <w:sz w:val="24"/>
              </w:rPr>
              <w:t>cercetării</w:t>
            </w:r>
          </w:p>
        </w:tc>
        <w:tc>
          <w:tcPr>
            <w:tcW w:w="3598" w:type="dxa"/>
          </w:tcPr>
          <w:p w:rsidR="00D54B63" w:rsidRPr="00F77EB0" w:rsidRDefault="00F77EB0" w:rsidP="00205EC1">
            <w:pPr>
              <w:pStyle w:val="TableParagraph"/>
              <w:numPr>
                <w:ilvl w:val="0"/>
                <w:numId w:val="4"/>
              </w:numPr>
              <w:tabs>
                <w:tab w:val="left" w:pos="293"/>
              </w:tabs>
              <w:spacing w:before="5"/>
              <w:ind w:left="0" w:right="189" w:firstLine="0"/>
              <w:jc w:val="both"/>
              <w:rPr>
                <w:sz w:val="24"/>
                <w:szCs w:val="24"/>
              </w:rPr>
            </w:pPr>
            <w:r w:rsidRPr="00F77EB0">
              <w:rPr>
                <w:sz w:val="24"/>
                <w:szCs w:val="24"/>
              </w:rPr>
              <w:t xml:space="preserve">Utilizarea CRESCDI ca instrument fezabil de raportare a rezultatelor cercetării, care permite centralizarea eficientă a informațiilor privind numărul de articole publicate, citările primite, participările la conferințe și proiectele derulate. </w:t>
            </w:r>
          </w:p>
        </w:tc>
        <w:tc>
          <w:tcPr>
            <w:tcW w:w="3260" w:type="dxa"/>
          </w:tcPr>
          <w:p w:rsidR="00D54B63" w:rsidRDefault="00F77EB0" w:rsidP="00205EC1">
            <w:pPr>
              <w:adjustRightInd w:val="0"/>
              <w:jc w:val="both"/>
              <w:rPr>
                <w:sz w:val="24"/>
                <w:szCs w:val="24"/>
              </w:rPr>
            </w:pPr>
            <w:r>
              <w:rPr>
                <w:sz w:val="24"/>
                <w:szCs w:val="24"/>
              </w:rPr>
              <w:t xml:space="preserve">Creșterea vizibilității </w:t>
            </w:r>
            <w:r w:rsidR="00205EC1">
              <w:rPr>
                <w:sz w:val="24"/>
                <w:szCs w:val="24"/>
              </w:rPr>
              <w:t>cercetării științifice a colectivelor de cercetare</w:t>
            </w:r>
          </w:p>
        </w:tc>
      </w:tr>
    </w:tbl>
    <w:p w:rsidR="002C0E8C" w:rsidRPr="002C0E8C" w:rsidRDefault="002C0E8C" w:rsidP="002C0E8C">
      <w:pPr>
        <w:adjustRightInd w:val="0"/>
        <w:spacing w:line="360" w:lineRule="auto"/>
        <w:jc w:val="both"/>
        <w:rPr>
          <w:sz w:val="24"/>
          <w:szCs w:val="24"/>
        </w:rPr>
      </w:pPr>
    </w:p>
    <w:p w:rsidR="002C0E8C" w:rsidRPr="00A039EE" w:rsidRDefault="002C0E8C" w:rsidP="002C0E8C">
      <w:pPr>
        <w:spacing w:line="360" w:lineRule="auto"/>
        <w:ind w:firstLine="720"/>
        <w:jc w:val="both"/>
        <w:rPr>
          <w:color w:val="2E74B5"/>
          <w:sz w:val="28"/>
          <w:szCs w:val="28"/>
        </w:rPr>
      </w:pPr>
      <w:r w:rsidRPr="00A60DF3">
        <w:rPr>
          <w:sz w:val="28"/>
          <w:szCs w:val="28"/>
        </w:rPr>
        <w:t xml:space="preserve"> </w:t>
      </w:r>
    </w:p>
    <w:p w:rsidR="00B76693" w:rsidRDefault="00B76693">
      <w:pPr>
        <w:spacing w:line="270" w:lineRule="atLeast"/>
        <w:jc w:val="both"/>
        <w:rPr>
          <w:rFonts w:ascii="Aptos" w:hAnsi="Aptos"/>
          <w:sz w:val="24"/>
        </w:rPr>
      </w:pPr>
    </w:p>
    <w:p w:rsidR="00B76693" w:rsidRPr="00B76693" w:rsidRDefault="00B76693" w:rsidP="00B76693">
      <w:pPr>
        <w:jc w:val="center"/>
        <w:rPr>
          <w:rFonts w:ascii="Aptos" w:hAnsi="Aptos"/>
          <w:sz w:val="24"/>
          <w:szCs w:val="24"/>
        </w:rPr>
      </w:pPr>
      <w:r w:rsidRPr="00B76693">
        <w:rPr>
          <w:rFonts w:ascii="Aptos" w:hAnsi="Aptos"/>
          <w:sz w:val="24"/>
          <w:szCs w:val="24"/>
        </w:rPr>
        <w:t>Director Departament,</w:t>
      </w:r>
    </w:p>
    <w:p w:rsidR="00B76693" w:rsidRPr="00B76693" w:rsidRDefault="00205EC1" w:rsidP="00B76693">
      <w:pPr>
        <w:ind w:firstLine="567"/>
        <w:jc w:val="center"/>
        <w:rPr>
          <w:rFonts w:ascii="Aptos" w:hAnsi="Aptos"/>
          <w:sz w:val="24"/>
          <w:szCs w:val="24"/>
        </w:rPr>
      </w:pPr>
      <w:r>
        <w:rPr>
          <w:rFonts w:ascii="Aptos" w:hAnsi="Aptos"/>
          <w:sz w:val="24"/>
          <w:szCs w:val="24"/>
        </w:rPr>
        <w:t>Conf. univ. dr. Liviu MIHĂILESCU</w:t>
      </w:r>
    </w:p>
    <w:p w:rsidR="00B76693" w:rsidRPr="00B76693" w:rsidRDefault="00205EC1" w:rsidP="00B76693">
      <w:pPr>
        <w:jc w:val="center"/>
        <w:rPr>
          <w:rFonts w:ascii="Aptos" w:hAnsi="Aptos"/>
          <w:sz w:val="24"/>
          <w:szCs w:val="24"/>
        </w:rPr>
      </w:pPr>
      <w:r>
        <w:rPr>
          <w:noProof/>
          <w:lang w:eastAsia="ro-RO"/>
        </w:rPr>
        <w:drawing>
          <wp:inline distT="0" distB="0" distL="0" distR="0">
            <wp:extent cx="540385" cy="341630"/>
            <wp:effectExtent l="19050" t="0" r="0" b="0"/>
            <wp:docPr id="1" name="Picture 1" descr="Liviu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viu_transparent"/>
                    <pic:cNvPicPr>
                      <a:picLocks noChangeAspect="1" noChangeArrowheads="1"/>
                    </pic:cNvPicPr>
                  </pic:nvPicPr>
                  <pic:blipFill>
                    <a:blip r:embed="rId10" cstate="print"/>
                    <a:srcRect/>
                    <a:stretch>
                      <a:fillRect/>
                    </a:stretch>
                  </pic:blipFill>
                  <pic:spPr bwMode="auto">
                    <a:xfrm>
                      <a:off x="0" y="0"/>
                      <a:ext cx="540385" cy="341630"/>
                    </a:xfrm>
                    <a:prstGeom prst="rect">
                      <a:avLst/>
                    </a:prstGeom>
                    <a:noFill/>
                    <a:ln w="9525">
                      <a:noFill/>
                      <a:miter lim="800000"/>
                      <a:headEnd/>
                      <a:tailEnd/>
                    </a:ln>
                  </pic:spPr>
                </pic:pic>
              </a:graphicData>
            </a:graphic>
          </wp:inline>
        </w:drawing>
      </w:r>
    </w:p>
    <w:sectPr w:rsidR="00B76693" w:rsidRPr="00B76693" w:rsidSect="002C0E8C">
      <w:footerReference w:type="default" r:id="rId11"/>
      <w:pgSz w:w="11910" w:h="16840"/>
      <w:pgMar w:top="1418" w:right="1418" w:bottom="1418" w:left="1418" w:header="0" w:footer="806"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6A81" w:rsidRDefault="002E6A81">
      <w:r>
        <w:separator/>
      </w:r>
    </w:p>
  </w:endnote>
  <w:endnote w:type="continuationSeparator" w:id="1">
    <w:p w:rsidR="002E6A81" w:rsidRDefault="002E6A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D89" w:rsidRDefault="005368A0">
    <w:pPr>
      <w:pStyle w:val="BodyText"/>
      <w:spacing w:line="14" w:lineRule="auto"/>
      <w:rPr>
        <w:b w:val="0"/>
        <w:sz w:val="20"/>
      </w:rPr>
    </w:pPr>
    <w:r w:rsidRPr="005368A0">
      <w:rPr>
        <w:noProof/>
      </w:rPr>
      <w:pict>
        <v:shapetype id="_x0000_t202" coordsize="21600,21600" o:spt="202" path="m,l,21600r21600,l21600,xe">
          <v:stroke joinstyle="miter"/>
          <v:path gradientshapeok="t" o:connecttype="rect"/>
        </v:shapetype>
        <v:shape id="Casetă text 1" o:spid="_x0000_s1026" type="#_x0000_t202" style="position:absolute;margin-left:543.7pt;margin-top:790.65pt;width:12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" filled="f" stroked="f">
          <v:textbox inset="0,0,0,0">
            <w:txbxContent>
              <w:p w:rsidR="00075D89" w:rsidRDefault="005368A0">
                <w:pPr>
                  <w:spacing w:before="10"/>
                  <w:ind w:left="60"/>
                  <w:rPr>
                    <w:sz w:val="24"/>
                  </w:rPr>
                </w:pPr>
                <w:r>
                  <w:fldChar w:fldCharType="begin"/>
                </w:r>
                <w:r w:rsidR="00851E99">
                  <w:rPr>
                    <w:sz w:val="24"/>
                  </w:rPr>
                  <w:instrText xml:space="preserve"> PAGE </w:instrText>
                </w:r>
                <w:r>
                  <w:fldChar w:fldCharType="separate"/>
                </w:r>
                <w:r w:rsidR="00205EC1">
                  <w:rPr>
                    <w:noProof/>
                    <w:sz w:val="24"/>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6A81" w:rsidRDefault="002E6A81">
      <w:r>
        <w:separator/>
      </w:r>
    </w:p>
  </w:footnote>
  <w:footnote w:type="continuationSeparator" w:id="1">
    <w:p w:rsidR="002E6A81" w:rsidRDefault="002E6A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25E27"/>
    <w:multiLevelType w:val="hybridMultilevel"/>
    <w:tmpl w:val="992A8FF2"/>
    <w:lvl w:ilvl="0" w:tplc="E1400D60">
      <w:numFmt w:val="bullet"/>
      <w:lvlText w:val=""/>
      <w:lvlJc w:val="left"/>
      <w:pPr>
        <w:ind w:left="107" w:hanging="180"/>
      </w:pPr>
      <w:rPr>
        <w:rFonts w:ascii="Symbol" w:eastAsia="Symbol" w:hAnsi="Symbol" w:cs="Symbol" w:hint="default"/>
        <w:w w:val="100"/>
        <w:sz w:val="24"/>
        <w:szCs w:val="24"/>
        <w:lang w:val="ro-RO" w:eastAsia="en-US" w:bidi="ar-SA"/>
      </w:rPr>
    </w:lvl>
    <w:lvl w:ilvl="1" w:tplc="8FE487F4">
      <w:numFmt w:val="bullet"/>
      <w:lvlText w:val="•"/>
      <w:lvlJc w:val="left"/>
      <w:pPr>
        <w:ind w:left="811" w:hanging="180"/>
      </w:pPr>
      <w:rPr>
        <w:rFonts w:hint="default"/>
        <w:lang w:val="ro-RO" w:eastAsia="en-US" w:bidi="ar-SA"/>
      </w:rPr>
    </w:lvl>
    <w:lvl w:ilvl="2" w:tplc="1910C29A">
      <w:numFmt w:val="bullet"/>
      <w:lvlText w:val="•"/>
      <w:lvlJc w:val="left"/>
      <w:pPr>
        <w:ind w:left="1522" w:hanging="180"/>
      </w:pPr>
      <w:rPr>
        <w:rFonts w:hint="default"/>
        <w:lang w:val="ro-RO" w:eastAsia="en-US" w:bidi="ar-SA"/>
      </w:rPr>
    </w:lvl>
    <w:lvl w:ilvl="3" w:tplc="2BE44C86">
      <w:numFmt w:val="bullet"/>
      <w:lvlText w:val="•"/>
      <w:lvlJc w:val="left"/>
      <w:pPr>
        <w:ind w:left="2234" w:hanging="180"/>
      </w:pPr>
      <w:rPr>
        <w:rFonts w:hint="default"/>
        <w:lang w:val="ro-RO" w:eastAsia="en-US" w:bidi="ar-SA"/>
      </w:rPr>
    </w:lvl>
    <w:lvl w:ilvl="4" w:tplc="0A14ED48">
      <w:numFmt w:val="bullet"/>
      <w:lvlText w:val="•"/>
      <w:lvlJc w:val="left"/>
      <w:pPr>
        <w:ind w:left="2945" w:hanging="180"/>
      </w:pPr>
      <w:rPr>
        <w:rFonts w:hint="default"/>
        <w:lang w:val="ro-RO" w:eastAsia="en-US" w:bidi="ar-SA"/>
      </w:rPr>
    </w:lvl>
    <w:lvl w:ilvl="5" w:tplc="7EC0FE48">
      <w:numFmt w:val="bullet"/>
      <w:lvlText w:val="•"/>
      <w:lvlJc w:val="left"/>
      <w:pPr>
        <w:ind w:left="3657" w:hanging="180"/>
      </w:pPr>
      <w:rPr>
        <w:rFonts w:hint="default"/>
        <w:lang w:val="ro-RO" w:eastAsia="en-US" w:bidi="ar-SA"/>
      </w:rPr>
    </w:lvl>
    <w:lvl w:ilvl="6" w:tplc="D4100768">
      <w:numFmt w:val="bullet"/>
      <w:lvlText w:val="•"/>
      <w:lvlJc w:val="left"/>
      <w:pPr>
        <w:ind w:left="4368" w:hanging="180"/>
      </w:pPr>
      <w:rPr>
        <w:rFonts w:hint="default"/>
        <w:lang w:val="ro-RO" w:eastAsia="en-US" w:bidi="ar-SA"/>
      </w:rPr>
    </w:lvl>
    <w:lvl w:ilvl="7" w:tplc="9992ED8C">
      <w:numFmt w:val="bullet"/>
      <w:lvlText w:val="•"/>
      <w:lvlJc w:val="left"/>
      <w:pPr>
        <w:ind w:left="5079" w:hanging="180"/>
      </w:pPr>
      <w:rPr>
        <w:rFonts w:hint="default"/>
        <w:lang w:val="ro-RO" w:eastAsia="en-US" w:bidi="ar-SA"/>
      </w:rPr>
    </w:lvl>
    <w:lvl w:ilvl="8" w:tplc="CA1AEC94">
      <w:numFmt w:val="bullet"/>
      <w:lvlText w:val="•"/>
      <w:lvlJc w:val="left"/>
      <w:pPr>
        <w:ind w:left="5791" w:hanging="180"/>
      </w:pPr>
      <w:rPr>
        <w:rFonts w:hint="default"/>
        <w:lang w:val="ro-RO" w:eastAsia="en-US" w:bidi="ar-SA"/>
      </w:rPr>
    </w:lvl>
  </w:abstractNum>
  <w:abstractNum w:abstractNumId="1">
    <w:nsid w:val="51B60057"/>
    <w:multiLevelType w:val="hybridMultilevel"/>
    <w:tmpl w:val="6B8682B8"/>
    <w:lvl w:ilvl="0" w:tplc="579C6DE6">
      <w:numFmt w:val="bullet"/>
      <w:lvlText w:val=""/>
      <w:lvlJc w:val="left"/>
      <w:pPr>
        <w:ind w:left="107" w:hanging="180"/>
      </w:pPr>
      <w:rPr>
        <w:rFonts w:ascii="Symbol" w:eastAsia="Symbol" w:hAnsi="Symbol" w:cs="Symbol" w:hint="default"/>
        <w:w w:val="100"/>
        <w:sz w:val="24"/>
        <w:szCs w:val="24"/>
        <w:lang w:val="ro-RO" w:eastAsia="en-US" w:bidi="ar-SA"/>
      </w:rPr>
    </w:lvl>
    <w:lvl w:ilvl="1" w:tplc="9536C202">
      <w:numFmt w:val="bullet"/>
      <w:lvlText w:val="•"/>
      <w:lvlJc w:val="left"/>
      <w:pPr>
        <w:ind w:left="811" w:hanging="180"/>
      </w:pPr>
      <w:rPr>
        <w:rFonts w:hint="default"/>
        <w:lang w:val="ro-RO" w:eastAsia="en-US" w:bidi="ar-SA"/>
      </w:rPr>
    </w:lvl>
    <w:lvl w:ilvl="2" w:tplc="481CA9D6">
      <w:numFmt w:val="bullet"/>
      <w:lvlText w:val="•"/>
      <w:lvlJc w:val="left"/>
      <w:pPr>
        <w:ind w:left="1522" w:hanging="180"/>
      </w:pPr>
      <w:rPr>
        <w:rFonts w:hint="default"/>
        <w:lang w:val="ro-RO" w:eastAsia="en-US" w:bidi="ar-SA"/>
      </w:rPr>
    </w:lvl>
    <w:lvl w:ilvl="3" w:tplc="0A96563A">
      <w:numFmt w:val="bullet"/>
      <w:lvlText w:val="•"/>
      <w:lvlJc w:val="left"/>
      <w:pPr>
        <w:ind w:left="2234" w:hanging="180"/>
      </w:pPr>
      <w:rPr>
        <w:rFonts w:hint="default"/>
        <w:lang w:val="ro-RO" w:eastAsia="en-US" w:bidi="ar-SA"/>
      </w:rPr>
    </w:lvl>
    <w:lvl w:ilvl="4" w:tplc="6D26D992">
      <w:numFmt w:val="bullet"/>
      <w:lvlText w:val="•"/>
      <w:lvlJc w:val="left"/>
      <w:pPr>
        <w:ind w:left="2945" w:hanging="180"/>
      </w:pPr>
      <w:rPr>
        <w:rFonts w:hint="default"/>
        <w:lang w:val="ro-RO" w:eastAsia="en-US" w:bidi="ar-SA"/>
      </w:rPr>
    </w:lvl>
    <w:lvl w:ilvl="5" w:tplc="576C1D62">
      <w:numFmt w:val="bullet"/>
      <w:lvlText w:val="•"/>
      <w:lvlJc w:val="left"/>
      <w:pPr>
        <w:ind w:left="3657" w:hanging="180"/>
      </w:pPr>
      <w:rPr>
        <w:rFonts w:hint="default"/>
        <w:lang w:val="ro-RO" w:eastAsia="en-US" w:bidi="ar-SA"/>
      </w:rPr>
    </w:lvl>
    <w:lvl w:ilvl="6" w:tplc="A5BA5CEE">
      <w:numFmt w:val="bullet"/>
      <w:lvlText w:val="•"/>
      <w:lvlJc w:val="left"/>
      <w:pPr>
        <w:ind w:left="4368" w:hanging="180"/>
      </w:pPr>
      <w:rPr>
        <w:rFonts w:hint="default"/>
        <w:lang w:val="ro-RO" w:eastAsia="en-US" w:bidi="ar-SA"/>
      </w:rPr>
    </w:lvl>
    <w:lvl w:ilvl="7" w:tplc="A1E66292">
      <w:numFmt w:val="bullet"/>
      <w:lvlText w:val="•"/>
      <w:lvlJc w:val="left"/>
      <w:pPr>
        <w:ind w:left="5079" w:hanging="180"/>
      </w:pPr>
      <w:rPr>
        <w:rFonts w:hint="default"/>
        <w:lang w:val="ro-RO" w:eastAsia="en-US" w:bidi="ar-SA"/>
      </w:rPr>
    </w:lvl>
    <w:lvl w:ilvl="8" w:tplc="E58CAD8E">
      <w:numFmt w:val="bullet"/>
      <w:lvlText w:val="•"/>
      <w:lvlJc w:val="left"/>
      <w:pPr>
        <w:ind w:left="5791" w:hanging="180"/>
      </w:pPr>
      <w:rPr>
        <w:rFonts w:hint="default"/>
        <w:lang w:val="ro-RO" w:eastAsia="en-US" w:bidi="ar-SA"/>
      </w:rPr>
    </w:lvl>
  </w:abstractNum>
  <w:abstractNum w:abstractNumId="2">
    <w:nsid w:val="6CB82A3F"/>
    <w:multiLevelType w:val="hybridMultilevel"/>
    <w:tmpl w:val="DCA65088"/>
    <w:lvl w:ilvl="0" w:tplc="448AAD74">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7BEE3FFF"/>
    <w:multiLevelType w:val="hybridMultilevel"/>
    <w:tmpl w:val="C33A2E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ulTrailSpace/>
    <w:shapeLayoutLikeWW8/>
  </w:compat>
  <w:rsids>
    <w:rsidRoot w:val="00075D89"/>
    <w:rsid w:val="00075D89"/>
    <w:rsid w:val="00080426"/>
    <w:rsid w:val="000D2330"/>
    <w:rsid w:val="001F4AED"/>
    <w:rsid w:val="00205EC1"/>
    <w:rsid w:val="002C0E8C"/>
    <w:rsid w:val="002E6A81"/>
    <w:rsid w:val="002F7EA4"/>
    <w:rsid w:val="00380261"/>
    <w:rsid w:val="004F1EB0"/>
    <w:rsid w:val="005359C9"/>
    <w:rsid w:val="005368A0"/>
    <w:rsid w:val="005F5FCB"/>
    <w:rsid w:val="007709E6"/>
    <w:rsid w:val="007A5901"/>
    <w:rsid w:val="00807918"/>
    <w:rsid w:val="008141AD"/>
    <w:rsid w:val="00851E99"/>
    <w:rsid w:val="0097042C"/>
    <w:rsid w:val="009766CA"/>
    <w:rsid w:val="00A56976"/>
    <w:rsid w:val="00B76693"/>
    <w:rsid w:val="00D36B07"/>
    <w:rsid w:val="00D43945"/>
    <w:rsid w:val="00D54B63"/>
    <w:rsid w:val="00E36A76"/>
    <w:rsid w:val="00E53F84"/>
    <w:rsid w:val="00F10C90"/>
    <w:rsid w:val="00F77EB0"/>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368A0"/>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368A0"/>
    <w:rPr>
      <w:b/>
      <w:bCs/>
      <w:sz w:val="24"/>
      <w:szCs w:val="24"/>
    </w:rPr>
  </w:style>
  <w:style w:type="paragraph" w:styleId="ListParagraph">
    <w:name w:val="List Paragraph"/>
    <w:basedOn w:val="Normal"/>
    <w:uiPriority w:val="1"/>
    <w:qFormat/>
    <w:rsid w:val="005368A0"/>
  </w:style>
  <w:style w:type="paragraph" w:customStyle="1" w:styleId="TableParagraph">
    <w:name w:val="Table Paragraph"/>
    <w:basedOn w:val="Normal"/>
    <w:uiPriority w:val="1"/>
    <w:qFormat/>
    <w:rsid w:val="005368A0"/>
    <w:pPr>
      <w:ind w:left="107"/>
    </w:pPr>
  </w:style>
  <w:style w:type="paragraph" w:styleId="BalloonText">
    <w:name w:val="Balloon Text"/>
    <w:basedOn w:val="Normal"/>
    <w:link w:val="BalloonTextChar"/>
    <w:uiPriority w:val="99"/>
    <w:semiHidden/>
    <w:unhideWhenUsed/>
    <w:rsid w:val="004F1EB0"/>
    <w:rPr>
      <w:rFonts w:ascii="Tahoma" w:hAnsi="Tahoma" w:cs="Tahoma"/>
      <w:sz w:val="16"/>
      <w:szCs w:val="16"/>
    </w:rPr>
  </w:style>
  <w:style w:type="character" w:customStyle="1" w:styleId="BalloonTextChar">
    <w:name w:val="Balloon Text Char"/>
    <w:basedOn w:val="DefaultParagraphFont"/>
    <w:link w:val="BalloonText"/>
    <w:uiPriority w:val="99"/>
    <w:semiHidden/>
    <w:rsid w:val="004F1EB0"/>
    <w:rPr>
      <w:rFonts w:ascii="Tahoma" w:eastAsia="Times New Roman" w:hAnsi="Tahoma" w:cs="Tahoma"/>
      <w:sz w:val="16"/>
      <w:szCs w:val="16"/>
      <w:lang w:val="ro-RO"/>
    </w:rPr>
  </w:style>
  <w:style w:type="table" w:styleId="TableGrid">
    <w:name w:val="Table Grid"/>
    <w:basedOn w:val="TableNormal"/>
    <w:uiPriority w:val="39"/>
    <w:rsid w:val="002C0E8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35938-339C-40D8-BE3F-552BEDD90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3700</Characters>
  <Application>Microsoft Office Word</Application>
  <DocSecurity>0</DocSecurity>
  <Lines>30</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Microsoft Word - II.10.1. Strategia de cercetare  stiintifica DPSCAS_2019-2023</vt:lpstr>
      <vt:lpstr>Microsoft Word - II.10.1. Strategia de cercetare  stiintifica DPSCAS_2019-2023</vt:lpstr>
    </vt:vector>
  </TitlesOfParts>
  <Company>Deftones</Company>
  <LinksUpToDate>false</LinksUpToDate>
  <CharactersWithSpaces>4329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II.10.1. Strategia de cercetare  stiintifica DPSCAS_2019-2023</dc:title>
  <dc:creator>User</dc:creator>
  <cp:lastModifiedBy>Iliuta</cp:lastModifiedBy>
  <cp:revision>2</cp:revision>
  <dcterms:created xsi:type="dcterms:W3CDTF">2025-02-18T09:53:00Z</dcterms:created>
  <dcterms:modified xsi:type="dcterms:W3CDTF">2025-02-18T09:53:00Z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2021-09-12T00:00:00Z</vt:filetime>
  </property>
  <property fmtid="{D5CDD505-2E9C-101B-9397-08002B2CF9AE}" pid="3" name="LastSaved">
    <vt:filetime>2022-04-27T00:00:00Z</vt:filetime>
  </property>
</Properties>
</file>