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F4" w:rsidRPr="00965339" w:rsidRDefault="00BF1BB5" w:rsidP="00BF1BB5">
      <w:pPr>
        <w:spacing w:before="100" w:beforeAutospacing="1" w:after="100" w:afterAutospacing="1" w:line="360" w:lineRule="auto"/>
        <w:ind w:firstLine="720"/>
        <w:jc w:val="both"/>
        <w:rPr>
          <w:sz w:val="22"/>
          <w:szCs w:val="22"/>
          <w:lang w:val="it-IT"/>
        </w:rPr>
      </w:pPr>
      <w:bookmarkStart w:id="0" w:name="_GoBack"/>
      <w:bookmarkEnd w:id="0"/>
      <w:r w:rsidRPr="00965339">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42.4pt;width:1in;height:61.35pt;z-index:251659264">
            <v:imagedata r:id="rId5" o:title=""/>
            <w10:wrap type="square"/>
          </v:shape>
          <o:OLEObject Type="Embed" ProgID="PI3.Image" ShapeID="_x0000_s1026" DrawAspect="Content" ObjectID="_1569849894" r:id="rId6"/>
        </w:pict>
      </w:r>
    </w:p>
    <w:p w:rsidR="000544F4" w:rsidRPr="00965339" w:rsidRDefault="000544F4" w:rsidP="000544F4">
      <w:pPr>
        <w:rPr>
          <w:sz w:val="22"/>
          <w:szCs w:val="22"/>
          <w:lang w:val="it-IT"/>
        </w:rPr>
      </w:pPr>
      <w:r w:rsidRPr="00965339">
        <w:rPr>
          <w:sz w:val="22"/>
          <w:szCs w:val="22"/>
          <w:lang w:val="it-IT"/>
        </w:rPr>
        <w:t>Str. Târgu din Vale, nr. 1</w:t>
      </w:r>
    </w:p>
    <w:p w:rsidR="000544F4" w:rsidRPr="00965339" w:rsidRDefault="000544F4" w:rsidP="000544F4">
      <w:pPr>
        <w:rPr>
          <w:sz w:val="22"/>
          <w:szCs w:val="22"/>
        </w:rPr>
      </w:pPr>
      <w:r w:rsidRPr="00965339">
        <w:rPr>
          <w:sz w:val="22"/>
          <w:szCs w:val="22"/>
        </w:rPr>
        <w:t>Tel/Fax: 0248212927</w:t>
      </w:r>
    </w:p>
    <w:p w:rsidR="000544F4" w:rsidRPr="00965339" w:rsidRDefault="000544F4" w:rsidP="000544F4">
      <w:pPr>
        <w:rPr>
          <w:sz w:val="22"/>
          <w:szCs w:val="22"/>
        </w:rPr>
      </w:pPr>
      <w:r w:rsidRPr="00965339">
        <w:rPr>
          <w:sz w:val="22"/>
          <w:szCs w:val="22"/>
        </w:rPr>
        <w:t xml:space="preserve">Email: </w:t>
      </w:r>
      <w:hyperlink r:id="rId7" w:history="1">
        <w:r w:rsidRPr="00965339">
          <w:rPr>
            <w:rStyle w:val="Hyperlink"/>
            <w:sz w:val="22"/>
            <w:szCs w:val="22"/>
          </w:rPr>
          <w:t>alliance_fr_pitesti@yahoo.fr</w:t>
        </w:r>
      </w:hyperlink>
    </w:p>
    <w:p w:rsidR="000544F4" w:rsidRPr="00965339" w:rsidRDefault="000544F4" w:rsidP="000544F4">
      <w:pPr>
        <w:rPr>
          <w:sz w:val="22"/>
          <w:szCs w:val="22"/>
        </w:rPr>
      </w:pPr>
    </w:p>
    <w:p w:rsidR="000544F4" w:rsidRPr="00965339" w:rsidRDefault="000544F4" w:rsidP="000544F4">
      <w:pPr>
        <w:tabs>
          <w:tab w:val="left" w:pos="2460"/>
        </w:tabs>
        <w:rPr>
          <w:b/>
          <w:sz w:val="22"/>
          <w:szCs w:val="22"/>
          <w:lang w:val="ro-RO"/>
        </w:rPr>
      </w:pPr>
      <w:r w:rsidRPr="00965339">
        <w:rPr>
          <w:b/>
          <w:sz w:val="22"/>
          <w:szCs w:val="22"/>
          <w:lang w:val="ro-RO"/>
        </w:rPr>
        <w:tab/>
      </w:r>
    </w:p>
    <w:p w:rsidR="000544F4" w:rsidRPr="00965339" w:rsidRDefault="000544F4" w:rsidP="00965339">
      <w:pPr>
        <w:tabs>
          <w:tab w:val="left" w:pos="2460"/>
        </w:tabs>
        <w:jc w:val="center"/>
        <w:rPr>
          <w:b/>
          <w:lang w:val="ro-RO"/>
        </w:rPr>
      </w:pPr>
      <w:r w:rsidRPr="00965339">
        <w:rPr>
          <w:b/>
          <w:lang w:val="ro-RO"/>
        </w:rPr>
        <w:t>Oferta cursuri de limba franceza</w:t>
      </w:r>
    </w:p>
    <w:p w:rsidR="000544F4" w:rsidRPr="00965339" w:rsidRDefault="000544F4" w:rsidP="000544F4">
      <w:pPr>
        <w:spacing w:before="100" w:beforeAutospacing="1" w:after="100" w:afterAutospacing="1" w:line="360" w:lineRule="auto"/>
        <w:ind w:firstLine="720"/>
        <w:jc w:val="both"/>
        <w:rPr>
          <w:sz w:val="22"/>
          <w:szCs w:val="22"/>
          <w:lang w:val="ro-RO"/>
        </w:rPr>
      </w:pPr>
      <w:r w:rsidRPr="00965339">
        <w:rPr>
          <w:b/>
          <w:sz w:val="22"/>
          <w:szCs w:val="22"/>
          <w:lang w:val="ro-RO"/>
        </w:rPr>
        <w:t>Alianta Franceza Pitesti, scoala internationala de limba franceza</w:t>
      </w:r>
      <w:r w:rsidRPr="00965339">
        <w:rPr>
          <w:sz w:val="22"/>
          <w:szCs w:val="22"/>
          <w:lang w:val="ro-RO"/>
        </w:rPr>
        <w:t>, organizeaza cursuri optionale de invatare a limbii franceze. Printre motivele necesitatii invatarii limbii franceze enumeram: este vorbita peste tot in lume, reprezinta un atu in cariera profesionala, studii posibile in Franta, pot intelege mai bine cultura franceza, utila in posibile calatorii in tarile francofone, prezenta in cadrul relatiilor internationale, exista licee cu predare in limba franceza, pot invata mai usor si alte limbi straine, este limba dragostei, a ratiunii, a stiintei, etc.</w:t>
      </w:r>
    </w:p>
    <w:p w:rsidR="000544F4" w:rsidRPr="00965339" w:rsidRDefault="000544F4" w:rsidP="000544F4">
      <w:pPr>
        <w:tabs>
          <w:tab w:val="left" w:pos="1134"/>
        </w:tabs>
        <w:spacing w:before="100" w:beforeAutospacing="1" w:after="100" w:afterAutospacing="1" w:line="360" w:lineRule="auto"/>
        <w:ind w:firstLine="720"/>
        <w:jc w:val="both"/>
        <w:rPr>
          <w:sz w:val="22"/>
          <w:szCs w:val="22"/>
          <w:lang w:val="ro-RO"/>
        </w:rPr>
      </w:pPr>
      <w:r w:rsidRPr="00965339">
        <w:rPr>
          <w:sz w:val="22"/>
          <w:szCs w:val="22"/>
          <w:lang w:val="ro-RO"/>
        </w:rPr>
        <w:t>Cursurile au la baza resurse pedagogice si tehnice moderne ale predarii limbilor straine, folosindu-se documente autentice (metode, reviste, documente audio si video). Astfel, cursantii vor avea posibilitatea sa intre in tainele unei limbi de circulatie internationala prin conversatie, lectura, jocuri creative si de imaginatie, cantece, teatru. Cursurile se vor desfasura</w:t>
      </w:r>
      <w:r w:rsidRPr="00965339">
        <w:rPr>
          <w:sz w:val="22"/>
          <w:szCs w:val="22"/>
          <w:lang w:val="ro-RO"/>
        </w:rPr>
        <w:t xml:space="preserve"> la sediul Aliantei Franceze</w:t>
      </w:r>
      <w:r w:rsidRPr="00965339">
        <w:rPr>
          <w:sz w:val="22"/>
          <w:szCs w:val="22"/>
          <w:lang w:val="ro-RO"/>
        </w:rPr>
        <w:t>, saptamanal sau, optional, bi-saptamanal, pentru grupe formate din minim 10 persoane</w:t>
      </w:r>
      <w:r w:rsidRPr="00965339">
        <w:rPr>
          <w:sz w:val="22"/>
          <w:szCs w:val="22"/>
          <w:lang w:val="ro-RO"/>
        </w:rPr>
        <w:t>, cate doua ore</w:t>
      </w:r>
      <w:r w:rsidRPr="00965339">
        <w:rPr>
          <w:sz w:val="22"/>
          <w:szCs w:val="22"/>
          <w:lang w:val="ro-RO"/>
        </w:rPr>
        <w:t xml:space="preserve"> / sedinta. </w:t>
      </w:r>
      <w:r w:rsidRPr="00965339">
        <w:rPr>
          <w:b/>
          <w:sz w:val="22"/>
          <w:szCs w:val="22"/>
          <w:lang w:val="ro-RO"/>
        </w:rPr>
        <w:t>Diplomele sunt recunoscute la nivel national</w:t>
      </w:r>
      <w:r w:rsidRPr="00965339">
        <w:rPr>
          <w:sz w:val="22"/>
          <w:szCs w:val="22"/>
          <w:lang w:val="ro-RO"/>
        </w:rPr>
        <w:t xml:space="preserve"> (</w:t>
      </w:r>
      <w:r w:rsidRPr="00965339">
        <w:rPr>
          <w:b/>
          <w:i/>
          <w:sz w:val="22"/>
          <w:szCs w:val="22"/>
          <w:lang w:val="ro-RO"/>
        </w:rPr>
        <w:t>DELF A2</w:t>
      </w:r>
      <w:r w:rsidRPr="00965339">
        <w:rPr>
          <w:i/>
          <w:sz w:val="22"/>
          <w:szCs w:val="22"/>
          <w:lang w:val="ro-RO"/>
        </w:rPr>
        <w:t xml:space="preserve"> - echivalentul probei de limba franceza pentru admitere in clasele cu profil bilingv, </w:t>
      </w:r>
      <w:r w:rsidRPr="00965339">
        <w:rPr>
          <w:b/>
          <w:i/>
          <w:sz w:val="22"/>
          <w:szCs w:val="22"/>
          <w:lang w:val="ro-RO"/>
        </w:rPr>
        <w:t>DELF B1</w:t>
      </w:r>
      <w:r w:rsidRPr="00965339">
        <w:rPr>
          <w:i/>
          <w:sz w:val="22"/>
          <w:szCs w:val="22"/>
          <w:lang w:val="ro-RO"/>
        </w:rPr>
        <w:t xml:space="preserve"> / </w:t>
      </w:r>
      <w:r w:rsidRPr="00965339">
        <w:rPr>
          <w:b/>
          <w:i/>
          <w:sz w:val="22"/>
          <w:szCs w:val="22"/>
          <w:lang w:val="ro-RO"/>
        </w:rPr>
        <w:t>B2</w:t>
      </w:r>
      <w:r w:rsidRPr="00965339">
        <w:rPr>
          <w:i/>
          <w:sz w:val="22"/>
          <w:szCs w:val="22"/>
          <w:lang w:val="ro-RO"/>
        </w:rPr>
        <w:t xml:space="preserve"> – echivalentul probei de limba franceza in cadrul examenului de bacalaureat</w:t>
      </w:r>
      <w:r w:rsidRPr="00965339">
        <w:rPr>
          <w:sz w:val="22"/>
          <w:szCs w:val="22"/>
          <w:lang w:val="ro-RO"/>
        </w:rPr>
        <w:t xml:space="preserve">) </w:t>
      </w:r>
      <w:r w:rsidRPr="00965339">
        <w:rPr>
          <w:b/>
          <w:sz w:val="22"/>
          <w:szCs w:val="22"/>
          <w:lang w:val="ro-RO"/>
        </w:rPr>
        <w:t>si la nivel international (</w:t>
      </w:r>
      <w:r w:rsidRPr="00965339">
        <w:rPr>
          <w:b/>
          <w:i/>
          <w:sz w:val="22"/>
          <w:szCs w:val="22"/>
          <w:lang w:val="ro-RO"/>
        </w:rPr>
        <w:t>DELF B1 / B2</w:t>
      </w:r>
      <w:r w:rsidRPr="00965339">
        <w:rPr>
          <w:b/>
          <w:sz w:val="22"/>
          <w:szCs w:val="22"/>
          <w:lang w:val="ro-RO"/>
        </w:rPr>
        <w:t xml:space="preserve"> – </w:t>
      </w:r>
      <w:r w:rsidRPr="00965339">
        <w:rPr>
          <w:i/>
          <w:sz w:val="22"/>
          <w:szCs w:val="22"/>
          <w:lang w:val="ro-RO"/>
        </w:rPr>
        <w:t>diplome necesare pentru a putea urma cursurile unei univesitati din orice tara francofona)</w:t>
      </w:r>
      <w:r w:rsidRPr="00965339">
        <w:rPr>
          <w:b/>
          <w:sz w:val="22"/>
          <w:szCs w:val="22"/>
          <w:lang w:val="ro-RO"/>
        </w:rPr>
        <w:t>.</w:t>
      </w:r>
      <w:r w:rsidRPr="00965339">
        <w:rPr>
          <w:sz w:val="22"/>
          <w:szCs w:val="22"/>
        </w:rPr>
        <w:t xml:space="preserve"> </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314"/>
        <w:gridCol w:w="5220"/>
      </w:tblGrid>
      <w:tr w:rsidR="000544F4" w:rsidRPr="00965339" w:rsidTr="00A159FB">
        <w:tc>
          <w:tcPr>
            <w:tcW w:w="1971"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p>
        </w:tc>
        <w:tc>
          <w:tcPr>
            <w:tcW w:w="1314"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Nivel</w:t>
            </w:r>
          </w:p>
        </w:tc>
        <w:tc>
          <w:tcPr>
            <w:tcW w:w="5220"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Tarif : 1 cursant / 1 ora</w:t>
            </w:r>
          </w:p>
        </w:tc>
      </w:tr>
      <w:tr w:rsidR="000544F4" w:rsidRPr="00965339" w:rsidTr="00A159FB">
        <w:tc>
          <w:tcPr>
            <w:tcW w:w="1971" w:type="dxa"/>
            <w:vMerge w:val="restart"/>
            <w:shd w:val="clear" w:color="auto" w:fill="auto"/>
          </w:tcPr>
          <w:p w:rsidR="000544F4" w:rsidRPr="00965339" w:rsidRDefault="000544F4" w:rsidP="00A159FB">
            <w:pPr>
              <w:tabs>
                <w:tab w:val="left" w:pos="1134"/>
              </w:tabs>
              <w:spacing w:before="100" w:beforeAutospacing="1" w:after="100" w:afterAutospacing="1" w:line="360" w:lineRule="auto"/>
              <w:rPr>
                <w:sz w:val="22"/>
                <w:szCs w:val="22"/>
                <w:lang w:val="ro-RO"/>
              </w:rPr>
            </w:pPr>
          </w:p>
          <w:p w:rsidR="000544F4" w:rsidRPr="00965339" w:rsidRDefault="000544F4" w:rsidP="00A159FB">
            <w:pPr>
              <w:tabs>
                <w:tab w:val="left" w:pos="1134"/>
              </w:tabs>
              <w:spacing w:before="100" w:beforeAutospacing="1" w:after="100" w:afterAutospacing="1" w:line="360" w:lineRule="auto"/>
              <w:rPr>
                <w:sz w:val="22"/>
                <w:szCs w:val="22"/>
                <w:lang w:val="ro-RO"/>
              </w:rPr>
            </w:pPr>
            <w:r w:rsidRPr="00965339">
              <w:rPr>
                <w:sz w:val="22"/>
                <w:szCs w:val="22"/>
                <w:lang w:val="ro-RO"/>
              </w:rPr>
              <w:t>Elevi / Studenti</w:t>
            </w:r>
          </w:p>
        </w:tc>
        <w:tc>
          <w:tcPr>
            <w:tcW w:w="1314" w:type="dxa"/>
            <w:shd w:val="clear" w:color="auto" w:fill="auto"/>
          </w:tcPr>
          <w:p w:rsidR="000544F4" w:rsidRPr="00965339" w:rsidRDefault="000544F4" w:rsidP="00A159FB">
            <w:pPr>
              <w:tabs>
                <w:tab w:val="left" w:pos="1134"/>
              </w:tabs>
              <w:spacing w:before="100" w:beforeAutospacing="1" w:after="100" w:afterAutospacing="1" w:line="360" w:lineRule="auto"/>
              <w:jc w:val="center"/>
              <w:rPr>
                <w:sz w:val="22"/>
                <w:szCs w:val="22"/>
                <w:lang w:val="ro-RO"/>
              </w:rPr>
            </w:pPr>
            <w:r w:rsidRPr="00965339">
              <w:rPr>
                <w:sz w:val="22"/>
                <w:szCs w:val="22"/>
                <w:lang w:val="ro-RO"/>
              </w:rPr>
              <w:t>A1</w:t>
            </w:r>
          </w:p>
        </w:tc>
        <w:tc>
          <w:tcPr>
            <w:tcW w:w="5220"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 xml:space="preserve">11 lei </w:t>
            </w:r>
          </w:p>
        </w:tc>
      </w:tr>
      <w:tr w:rsidR="000544F4" w:rsidRPr="00965339" w:rsidTr="00A159FB">
        <w:tc>
          <w:tcPr>
            <w:tcW w:w="1971" w:type="dxa"/>
            <w:vMerge/>
            <w:shd w:val="clear" w:color="auto" w:fill="auto"/>
          </w:tcPr>
          <w:p w:rsidR="000544F4" w:rsidRPr="00965339" w:rsidRDefault="000544F4" w:rsidP="00A159FB">
            <w:pPr>
              <w:tabs>
                <w:tab w:val="left" w:pos="1134"/>
              </w:tabs>
              <w:spacing w:before="100" w:beforeAutospacing="1" w:after="100" w:afterAutospacing="1" w:line="360" w:lineRule="auto"/>
              <w:jc w:val="right"/>
              <w:rPr>
                <w:sz w:val="22"/>
                <w:szCs w:val="22"/>
                <w:lang w:val="ro-RO"/>
              </w:rPr>
            </w:pPr>
          </w:p>
        </w:tc>
        <w:tc>
          <w:tcPr>
            <w:tcW w:w="1314" w:type="dxa"/>
            <w:shd w:val="clear" w:color="auto" w:fill="auto"/>
          </w:tcPr>
          <w:p w:rsidR="000544F4" w:rsidRPr="00965339" w:rsidRDefault="000544F4" w:rsidP="00A159FB">
            <w:pPr>
              <w:tabs>
                <w:tab w:val="left" w:pos="1134"/>
              </w:tabs>
              <w:spacing w:before="100" w:beforeAutospacing="1" w:after="100" w:afterAutospacing="1" w:line="360" w:lineRule="auto"/>
              <w:jc w:val="center"/>
              <w:rPr>
                <w:sz w:val="22"/>
                <w:szCs w:val="22"/>
                <w:lang w:val="ro-RO"/>
              </w:rPr>
            </w:pPr>
            <w:r w:rsidRPr="00965339">
              <w:rPr>
                <w:sz w:val="22"/>
                <w:szCs w:val="22"/>
                <w:lang w:val="ro-RO"/>
              </w:rPr>
              <w:t>A2</w:t>
            </w:r>
          </w:p>
        </w:tc>
        <w:tc>
          <w:tcPr>
            <w:tcW w:w="5220"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 xml:space="preserve">12 lei </w:t>
            </w:r>
          </w:p>
        </w:tc>
      </w:tr>
      <w:tr w:rsidR="000544F4" w:rsidRPr="00965339" w:rsidTr="00A159FB">
        <w:tc>
          <w:tcPr>
            <w:tcW w:w="1971" w:type="dxa"/>
            <w:vMerge/>
            <w:shd w:val="clear" w:color="auto" w:fill="auto"/>
          </w:tcPr>
          <w:p w:rsidR="000544F4" w:rsidRPr="00965339" w:rsidRDefault="000544F4" w:rsidP="00A159FB">
            <w:pPr>
              <w:tabs>
                <w:tab w:val="left" w:pos="1134"/>
              </w:tabs>
              <w:spacing w:before="100" w:beforeAutospacing="1" w:after="100" w:afterAutospacing="1" w:line="360" w:lineRule="auto"/>
              <w:jc w:val="right"/>
              <w:rPr>
                <w:sz w:val="22"/>
                <w:szCs w:val="22"/>
                <w:lang w:val="ro-RO"/>
              </w:rPr>
            </w:pPr>
          </w:p>
        </w:tc>
        <w:tc>
          <w:tcPr>
            <w:tcW w:w="1314" w:type="dxa"/>
            <w:shd w:val="clear" w:color="auto" w:fill="auto"/>
          </w:tcPr>
          <w:p w:rsidR="000544F4" w:rsidRPr="00965339" w:rsidRDefault="000544F4" w:rsidP="00A159FB">
            <w:pPr>
              <w:tabs>
                <w:tab w:val="left" w:pos="1134"/>
              </w:tabs>
              <w:spacing w:before="100" w:beforeAutospacing="1" w:after="100" w:afterAutospacing="1" w:line="360" w:lineRule="auto"/>
              <w:jc w:val="center"/>
              <w:rPr>
                <w:sz w:val="22"/>
                <w:szCs w:val="22"/>
                <w:lang w:val="ro-RO"/>
              </w:rPr>
            </w:pPr>
            <w:r w:rsidRPr="00965339">
              <w:rPr>
                <w:sz w:val="22"/>
                <w:szCs w:val="22"/>
                <w:lang w:val="ro-RO"/>
              </w:rPr>
              <w:t>B1</w:t>
            </w:r>
          </w:p>
        </w:tc>
        <w:tc>
          <w:tcPr>
            <w:tcW w:w="5220"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 xml:space="preserve">13 lei </w:t>
            </w:r>
          </w:p>
        </w:tc>
      </w:tr>
      <w:tr w:rsidR="000544F4" w:rsidRPr="00965339" w:rsidTr="00A159FB">
        <w:tc>
          <w:tcPr>
            <w:tcW w:w="1971" w:type="dxa"/>
            <w:vMerge/>
            <w:shd w:val="clear" w:color="auto" w:fill="auto"/>
          </w:tcPr>
          <w:p w:rsidR="000544F4" w:rsidRPr="00965339" w:rsidRDefault="000544F4" w:rsidP="00A159FB">
            <w:pPr>
              <w:tabs>
                <w:tab w:val="left" w:pos="1134"/>
              </w:tabs>
              <w:spacing w:before="100" w:beforeAutospacing="1" w:after="100" w:afterAutospacing="1" w:line="360" w:lineRule="auto"/>
              <w:jc w:val="right"/>
              <w:rPr>
                <w:sz w:val="22"/>
                <w:szCs w:val="22"/>
                <w:lang w:val="ro-RO"/>
              </w:rPr>
            </w:pPr>
          </w:p>
        </w:tc>
        <w:tc>
          <w:tcPr>
            <w:tcW w:w="1314" w:type="dxa"/>
            <w:shd w:val="clear" w:color="auto" w:fill="auto"/>
          </w:tcPr>
          <w:p w:rsidR="000544F4" w:rsidRPr="00965339" w:rsidRDefault="000544F4" w:rsidP="00A159FB">
            <w:pPr>
              <w:tabs>
                <w:tab w:val="left" w:pos="1134"/>
              </w:tabs>
              <w:spacing w:before="100" w:beforeAutospacing="1" w:after="100" w:afterAutospacing="1" w:line="360" w:lineRule="auto"/>
              <w:jc w:val="center"/>
              <w:rPr>
                <w:sz w:val="22"/>
                <w:szCs w:val="22"/>
                <w:lang w:val="ro-RO"/>
              </w:rPr>
            </w:pPr>
            <w:r w:rsidRPr="00965339">
              <w:rPr>
                <w:sz w:val="22"/>
                <w:szCs w:val="22"/>
                <w:lang w:val="ro-RO"/>
              </w:rPr>
              <w:t>B2</w:t>
            </w:r>
          </w:p>
        </w:tc>
        <w:tc>
          <w:tcPr>
            <w:tcW w:w="5220" w:type="dxa"/>
            <w:shd w:val="clear" w:color="auto" w:fill="auto"/>
          </w:tcPr>
          <w:p w:rsidR="000544F4" w:rsidRPr="00965339" w:rsidRDefault="000544F4" w:rsidP="00A159FB">
            <w:pPr>
              <w:tabs>
                <w:tab w:val="left" w:pos="1134"/>
              </w:tabs>
              <w:spacing w:before="100" w:beforeAutospacing="1" w:after="100" w:afterAutospacing="1" w:line="360" w:lineRule="auto"/>
              <w:jc w:val="center"/>
              <w:rPr>
                <w:b/>
                <w:sz w:val="22"/>
                <w:szCs w:val="22"/>
                <w:lang w:val="ro-RO"/>
              </w:rPr>
            </w:pPr>
            <w:r w:rsidRPr="00965339">
              <w:rPr>
                <w:b/>
                <w:sz w:val="22"/>
                <w:szCs w:val="22"/>
                <w:lang w:val="ro-RO"/>
              </w:rPr>
              <w:t xml:space="preserve">15 lei </w:t>
            </w:r>
          </w:p>
        </w:tc>
      </w:tr>
    </w:tbl>
    <w:p w:rsidR="000544F4" w:rsidRPr="00965339" w:rsidRDefault="000544F4" w:rsidP="000544F4">
      <w:pPr>
        <w:tabs>
          <w:tab w:val="left" w:pos="1134"/>
        </w:tabs>
        <w:spacing w:line="480" w:lineRule="auto"/>
        <w:ind w:firstLine="720"/>
        <w:jc w:val="both"/>
        <w:rPr>
          <w:sz w:val="22"/>
          <w:szCs w:val="22"/>
          <w:lang w:val="ro-RO"/>
        </w:rPr>
      </w:pPr>
    </w:p>
    <w:p w:rsidR="000544F4" w:rsidRPr="00965339" w:rsidRDefault="000544F4" w:rsidP="000544F4">
      <w:pPr>
        <w:tabs>
          <w:tab w:val="left" w:pos="1134"/>
        </w:tabs>
        <w:spacing w:line="360" w:lineRule="auto"/>
        <w:ind w:firstLine="720"/>
        <w:jc w:val="both"/>
        <w:rPr>
          <w:sz w:val="22"/>
          <w:szCs w:val="22"/>
          <w:lang w:val="ro-RO"/>
        </w:rPr>
      </w:pPr>
      <w:r w:rsidRPr="00965339">
        <w:rPr>
          <w:sz w:val="22"/>
          <w:szCs w:val="22"/>
          <w:lang w:val="ro-RO"/>
        </w:rPr>
        <w:t xml:space="preserve">De asemenea, cursantii pot deveni membri activi ai Aliantei Franceze unde pot viziona filme, participa la activitatile culturale organizate, imprumuta carti, etc. </w:t>
      </w:r>
    </w:p>
    <w:p w:rsidR="00D642DD" w:rsidRPr="000544F4" w:rsidRDefault="00D642DD">
      <w:pPr>
        <w:rPr>
          <w:lang w:val="ro-RO"/>
        </w:rPr>
      </w:pPr>
    </w:p>
    <w:sectPr w:rsidR="00D642DD" w:rsidRPr="0005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B"/>
    <w:rsid w:val="000544F4"/>
    <w:rsid w:val="000943D9"/>
    <w:rsid w:val="00415AAC"/>
    <w:rsid w:val="0050184B"/>
    <w:rsid w:val="00965339"/>
    <w:rsid w:val="00BF1BB5"/>
    <w:rsid w:val="00D22F43"/>
    <w:rsid w:val="00D6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F4"/>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F4"/>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4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ance_fr_pitesti@yah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ALLIANCE-FR</dc:creator>
  <cp:lastModifiedBy>ALLIANCE-FR</cp:lastModifiedBy>
  <cp:revision>2</cp:revision>
  <dcterms:created xsi:type="dcterms:W3CDTF">2017-10-18T13:38:00Z</dcterms:created>
  <dcterms:modified xsi:type="dcterms:W3CDTF">2017-10-18T13:38:00Z</dcterms:modified>
</cp:coreProperties>
</file>