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A" w:rsidRPr="00AB0F70" w:rsidRDefault="00F47283" w:rsidP="00F47283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F47283">
        <w:rPr>
          <w:rFonts w:ascii="Arial" w:hAnsi="Arial" w:cs="Arial"/>
          <w:color w:val="000000"/>
          <w:sz w:val="18"/>
          <w:szCs w:val="18"/>
          <w:lang w:val="ro-RO"/>
        </w:rPr>
        <w:t>UP.05.D.3.O.04.02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AB0F70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AB0F70" w:rsidRDefault="009301A3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>
        <w:rPr>
          <w:rFonts w:ascii="Arial" w:eastAsia="MS Mincho" w:hAnsi="Arial" w:cs="Arial" w:hint="eastAsia"/>
          <w:b/>
          <w:i/>
          <w:iCs/>
          <w:sz w:val="18"/>
          <w:szCs w:val="18"/>
          <w:lang w:val="ro-RO" w:eastAsia="ja-JP"/>
        </w:rPr>
        <w:t xml:space="preserve">Introducere in </w:t>
      </w:r>
      <w:proofErr w:type="spellStart"/>
      <w:r w:rsidR="000B0DE4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relatii</w:t>
      </w:r>
      <w:proofErr w:type="spellEnd"/>
      <w:r w:rsidR="000B0DE4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 xml:space="preserve"> publice</w:t>
      </w:r>
      <w:r w:rsidR="0022726D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 xml:space="preserve">, </w:t>
      </w:r>
      <w:r w:rsidR="0022726D" w:rsidRPr="0022726D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anul universitar 20</w:t>
      </w:r>
      <w:r w:rsidR="005043FF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20</w:t>
      </w:r>
      <w:r w:rsidR="0022726D" w:rsidRPr="0022726D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/202</w:t>
      </w:r>
      <w:r w:rsidR="005043FF">
        <w:rPr>
          <w:rFonts w:ascii="Arial" w:eastAsia="MS Mincho" w:hAnsi="Arial" w:cs="Arial"/>
          <w:b/>
          <w:i/>
          <w:iCs/>
          <w:sz w:val="18"/>
          <w:szCs w:val="18"/>
          <w:lang w:val="ro-RO" w:eastAsia="ja-JP"/>
        </w:rPr>
        <w:t>1</w:t>
      </w: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Universitatea din Piteș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6F26DA" w:rsidRPr="00AB0F70" w:rsidRDefault="00E1700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Psihologie, </w:t>
            </w:r>
            <w:r w:rsidR="00817666"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și Asistență Socială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Jurnalism 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 w:rsidP="00F246C2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val="ro-RO" w:eastAsia="ja-JP"/>
              </w:rPr>
              <w:t>I</w:t>
            </w:r>
            <w:r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 xml:space="preserve">ntroducere in </w:t>
            </w:r>
            <w:proofErr w:type="spellStart"/>
            <w:r w:rsidR="00F246C2"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>relatii</w:t>
            </w:r>
            <w:proofErr w:type="spellEnd"/>
            <w:r w:rsidR="00F246C2"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 xml:space="preserve"> publice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onf.univ.dr</w:t>
            </w:r>
            <w:proofErr w:type="spellEnd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. Georgiana </w:t>
            </w: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Draghici</w:t>
            </w:r>
            <w:proofErr w:type="spellEnd"/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9301A3" w:rsidRDefault="009301A3" w:rsidP="009301A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9301A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Conf.univ.dr</w:t>
            </w:r>
            <w:proofErr w:type="spellEnd"/>
            <w:r w:rsidRPr="009301A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. Georgiana </w:t>
            </w:r>
            <w:proofErr w:type="spellStart"/>
            <w:r w:rsidRPr="009301A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Draghici</w:t>
            </w:r>
            <w:proofErr w:type="spellEnd"/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246C2" w:rsidRDefault="006F26D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F246C2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0D441C" w:rsidRDefault="006F26D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Număr de ore pe </w:t>
            </w: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saptămână</w:t>
            </w:r>
            <w:proofErr w:type="spellEnd"/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1D1DB9" w:rsidRDefault="001D1DB9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458A7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1D1DB9" w:rsidRDefault="00F246C2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1</w:t>
            </w:r>
          </w:p>
        </w:tc>
      </w:tr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1D1DB9" w:rsidRDefault="001D1DB9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28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6F26DA" w:rsidRPr="000458A7" w:rsidRDefault="000458A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458A7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339" w:type="pct"/>
          </w:tcPr>
          <w:p w:rsidR="006F26DA" w:rsidRPr="001D1DB9" w:rsidRDefault="00F246C2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14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6F26DA" w:rsidRPr="00AB0F70" w:rsidRDefault="00F50075" w:rsidP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 w:rsidR="00335945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6F26DA" w:rsidRPr="00AB0F70" w:rsidRDefault="00F50075" w:rsidP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 w:rsidR="00335945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6F26DA" w:rsidRPr="00AB0F70" w:rsidRDefault="00F50075" w:rsidP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 w:rsidR="00335945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Tutorat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6F26DA" w:rsidRPr="00AB0F70" w:rsidRDefault="0033594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83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6F26DA" w:rsidRPr="001D1DB9" w:rsidRDefault="00335945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  <w:t>125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6F26DA" w:rsidRPr="001D1DB9" w:rsidRDefault="001D1DB9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/>
                <w:sz w:val="18"/>
                <w:szCs w:val="18"/>
                <w:lang w:val="ro-RO" w:eastAsia="ja-JP"/>
              </w:rPr>
              <w:t>5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6F26DA" w:rsidRPr="00AB0F70" w:rsidRDefault="00F246C2" w:rsidP="0001228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246C2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teori</w:t>
            </w:r>
            <w:r w:rsidR="00012284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a comunicării, teoria mass-media, fundamente ale sistemului mass-media, tehnici de redactare, semiotică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6F26DA" w:rsidRPr="00AB0F70" w:rsidRDefault="006F26DA" w:rsidP="0001228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Capacit</w:t>
            </w:r>
            <w:r w:rsidR="00012284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375D4E" w:rsidRPr="00AB0F70">
              <w:rPr>
                <w:rFonts w:ascii="Arial" w:hAnsi="Arial" w:cs="Arial"/>
                <w:sz w:val="18"/>
                <w:szCs w:val="18"/>
                <w:lang w:val="ro-RO"/>
              </w:rPr>
              <w:t>i de analiză, sinteză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, gândire </w:t>
            </w: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divergentã</w:t>
            </w:r>
            <w:proofErr w:type="spellEnd"/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6F26DA" w:rsidRPr="00AB0F70" w:rsidRDefault="00375D4E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6F26DA" w:rsidRPr="00AB0F70" w:rsidRDefault="00936E34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laborator dotat cu calculatoare</w:t>
            </w: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6F26DA" w:rsidRPr="00AB0F70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335945" w:rsidRPr="00335945" w:rsidRDefault="00335945" w:rsidP="00335945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335945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C1. Identificarea si utilizarea limbajului, metodologiilor şi cunoştin</w:t>
            </w:r>
            <w:r w:rsidR="00012284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ț</w:t>
            </w:r>
            <w:r w:rsidRPr="00335945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elor de specialitate din domeniul ştiinţelor comunicării.</w:t>
            </w:r>
          </w:p>
          <w:p w:rsidR="00335945" w:rsidRPr="00335945" w:rsidRDefault="00335945" w:rsidP="00335945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335945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C3. Descrierea tipurilor diferite de audienţă / public implicate în comunicare.</w:t>
            </w:r>
          </w:p>
          <w:p w:rsidR="00335945" w:rsidRPr="00335945" w:rsidRDefault="00335945" w:rsidP="00335945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335945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C4. Managementul informaţiei de presă.</w:t>
            </w:r>
          </w:p>
          <w:p w:rsidR="006F26DA" w:rsidRPr="00271413" w:rsidRDefault="006F26DA" w:rsidP="00335945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</w:tc>
      </w:tr>
      <w:tr w:rsidR="006F26DA" w:rsidRPr="00AB0F70" w:rsidTr="00F26C9C">
        <w:trPr>
          <w:trHeight w:val="1130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64437F" w:rsidRDefault="0064437F" w:rsidP="003359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4437F">
              <w:rPr>
                <w:rFonts w:ascii="Arial" w:hAnsi="Arial" w:cs="Arial"/>
                <w:sz w:val="18"/>
                <w:szCs w:val="18"/>
                <w:lang w:val="ro-RO"/>
              </w:rPr>
              <w:t>CT1. Rezolvarea în mod realist - cu argumentare atât teoretică, cât şi practică - a unor situaţii profesionale uzuale, în vederea soluţionării eficiente şi deontologice a acestora.</w:t>
            </w:r>
          </w:p>
          <w:p w:rsidR="00335945" w:rsidRPr="00335945" w:rsidRDefault="00335945" w:rsidP="003359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35945">
              <w:rPr>
                <w:rFonts w:ascii="Arial" w:hAnsi="Arial" w:cs="Arial"/>
                <w:sz w:val="18"/>
                <w:szCs w:val="18"/>
                <w:lang w:val="ro-RO"/>
              </w:rPr>
              <w:t>CT2. Aplicarea tehnicilor de muncă eficientă în echipa multidisciplinară cu îndeplinirea anumitor sarcini pe paliere ierarhice.</w:t>
            </w:r>
          </w:p>
          <w:p w:rsidR="006F26DA" w:rsidRPr="00AB0F70" w:rsidRDefault="006F26DA" w:rsidP="003359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6F26DA" w:rsidRPr="00AB0F70" w:rsidTr="00D4314F">
        <w:trPr>
          <w:trHeight w:val="49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D4314F" w:rsidRDefault="006F26DA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7.1.Obiectivul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1D1DB9" w:rsidRDefault="00735300" w:rsidP="001D1DB9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62D5C">
              <w:rPr>
                <w:rFonts w:ascii="Arial" w:hAnsi="Arial" w:cs="Arial"/>
                <w:sz w:val="18"/>
                <w:szCs w:val="18"/>
                <w:lang w:val="ro-RO"/>
              </w:rPr>
              <w:t xml:space="preserve">Cultivarea </w:t>
            </w:r>
            <w:r w:rsidRPr="00962D5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abilităţilor </w:t>
            </w:r>
            <w:r w:rsidR="001D1DB9">
              <w:rPr>
                <w:rFonts w:ascii="Arial" w:eastAsia="MS Mincho" w:hAnsi="Arial" w:cs="Arial" w:hint="eastAsia"/>
                <w:i/>
                <w:sz w:val="18"/>
                <w:szCs w:val="18"/>
                <w:lang w:val="ro-RO" w:eastAsia="ja-JP"/>
              </w:rPr>
              <w:t>comunicare</w:t>
            </w:r>
          </w:p>
        </w:tc>
      </w:tr>
      <w:tr w:rsidR="006F26DA" w:rsidRPr="00AB0F70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7.2.Obiectivele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1D1DB9" w:rsidRPr="001D1DB9" w:rsidRDefault="001D1DB9" w:rsidP="001D1DB9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1D1DB9">
              <w:rPr>
                <w:rFonts w:ascii="Arial" w:hAnsi="Arial" w:cs="Arial"/>
                <w:sz w:val="18"/>
                <w:szCs w:val="18"/>
              </w:rPr>
              <w:t>Cunoaşterea, înţelegerea conceptelor, teoriilor şi metodelor de bază ale domeniului</w:t>
            </w:r>
          </w:p>
          <w:p w:rsidR="001D1DB9" w:rsidRPr="001D1DB9" w:rsidRDefault="001D1DB9" w:rsidP="001D1DB9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1D1DB9">
              <w:rPr>
                <w:rFonts w:ascii="Arial" w:hAnsi="Arial" w:cs="Arial"/>
                <w:sz w:val="18"/>
                <w:szCs w:val="18"/>
              </w:rPr>
              <w:t xml:space="preserve"> şi ale ariei de specializare; utilizarea lor adecvată </w:t>
            </w:r>
          </w:p>
          <w:p w:rsidR="00EE7E0F" w:rsidRDefault="001D1DB9" w:rsidP="001D1DB9">
            <w:pPr>
              <w:spacing w:before="100" w:after="100"/>
              <w:ind w:left="360"/>
              <w:jc w:val="both"/>
              <w:rPr>
                <w:rFonts w:ascii="Arial" w:eastAsia="MS Mincho" w:hAnsi="Arial" w:cs="Arial"/>
                <w:sz w:val="18"/>
                <w:szCs w:val="18"/>
                <w:u w:val="single"/>
                <w:shd w:val="clear" w:color="auto" w:fill="FFFFFF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u w:val="single"/>
                <w:shd w:val="clear" w:color="auto" w:fill="FFFFFF"/>
                <w:lang w:val="ro-RO" w:eastAsia="ja-JP"/>
              </w:rPr>
              <w:t xml:space="preserve">B. </w:t>
            </w:r>
            <w:r w:rsidR="006F26DA"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Obiective procedurale</w:t>
            </w:r>
          </w:p>
          <w:p w:rsidR="00502496" w:rsidRPr="00502496" w:rsidRDefault="00502496" w:rsidP="00502496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Crearea unei baze de date privind nevoile, interesele, </w:t>
            </w:r>
            <w:proofErr w:type="spellStart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obi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s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nuin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t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ele</w:t>
            </w:r>
            <w:proofErr w:type="spellEnd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, preocupările 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s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i </w:t>
            </w:r>
            <w:proofErr w:type="spellStart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a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s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teptările</w:t>
            </w:r>
            <w:proofErr w:type="spellEnd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unui segment </w:t>
            </w: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t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intă</w:t>
            </w:r>
            <w:proofErr w:type="spellEnd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din public/audien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t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ă </w:t>
            </w:r>
          </w:p>
          <w:p w:rsidR="00502496" w:rsidRPr="00502496" w:rsidRDefault="00502496" w:rsidP="00502496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I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dentificarea 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s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i utilizarea unor indicatori relevanţi pentru evaluarea rezultatelor campaniilor din domeniu comparativ cu </w:t>
            </w:r>
            <w:proofErr w:type="spellStart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a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s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teptările</w:t>
            </w:r>
            <w:proofErr w:type="spellEnd"/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publicului / audien</w:t>
            </w:r>
            <w:r>
              <w:rPr>
                <w:rFonts w:ascii="Arial" w:eastAsia="MS Mincho" w:hAnsi="Arial" w:cs="Arial" w:hint="eastAsia"/>
                <w:sz w:val="18"/>
                <w:szCs w:val="18"/>
                <w:shd w:val="clear" w:color="auto" w:fill="FFFFFF"/>
                <w:lang w:val="ro-RO" w:eastAsia="ja-JP"/>
              </w:rPr>
              <w:t>t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ei </w:t>
            </w:r>
          </w:p>
          <w:p w:rsidR="00502496" w:rsidRPr="00502496" w:rsidRDefault="00502496" w:rsidP="00502496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Identificarea particularităţilor utilizării specializate a diverselor tipuri media în comunicare în funcţie de specificul canalului şi al produsului media</w:t>
            </w:r>
          </w:p>
          <w:p w:rsidR="00502496" w:rsidRDefault="00502496" w:rsidP="00502496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Identificarea şi utilizarea principalelor teorii cu privire la comunicarea mediatică, la </w:t>
            </w: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lastRenderedPageBreak/>
              <w:t>segmentarea publicului ţintă, la dinamica diverse</w:t>
            </w:r>
            <w:r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lor tipuri de audienţă / public</w:t>
            </w:r>
          </w:p>
          <w:p w:rsidR="00502496" w:rsidRDefault="00502496" w:rsidP="00502496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502496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Utilizarea unor modele, grile, teste, proceduri şi soft-uri adecvate pentru rezolvarea problemelor privind segmentarea publicului ţintă şi cu care se confruntă publicul ţintă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Însu</w:t>
            </w:r>
            <w:r w:rsidR="00C3299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ș</w:t>
            </w: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irea</w:t>
            </w:r>
            <w:r w:rsidR="00C3299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cunostin</w:t>
            </w:r>
            <w:r w:rsidR="00C32999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ț</w:t>
            </w: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elor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 xml:space="preserve"> referitoare la tipurile de relaţii publice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Evidenţierea principalelor caracteristici ale relaţiilor publice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Dezvoltarea abilităţilor de redactare a unui comunicat de presă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Deprinderea elementelor ce ţin de comunicarea cu presa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Diferenţierea etapelor în elaborarea textelor pentru presă</w:t>
            </w:r>
          </w:p>
          <w:p w:rsidR="00E801D3" w:rsidRP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Asimilarea cunoştinţelor legate de purtătorul de cuvânt şi de organizarea unei campanii de presă</w:t>
            </w:r>
          </w:p>
          <w:p w:rsidR="00E801D3" w:rsidRDefault="00E801D3" w:rsidP="00E801D3">
            <w:pPr>
              <w:spacing w:before="100" w:after="100"/>
              <w:jc w:val="both"/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shd w:val="clear" w:color="auto" w:fill="FFFFFF"/>
                <w:lang w:val="ro-RO" w:eastAsia="ja-JP"/>
              </w:rPr>
              <w:t>Însuşirea calităţilor legate de comunicarea cu presa în timpul unei crize</w:t>
            </w:r>
          </w:p>
          <w:p w:rsidR="006F26DA" w:rsidRPr="00AB0F70" w:rsidRDefault="006F26DA" w:rsidP="00502496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502496" w:rsidRDefault="00502496" w:rsidP="00502496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502496">
              <w:rPr>
                <w:rFonts w:ascii="Arial" w:hAnsi="Arial" w:cs="Arial"/>
                <w:sz w:val="18"/>
                <w:szCs w:val="18"/>
                <w:lang w:val="ro-RO"/>
              </w:rPr>
              <w:t xml:space="preserve">Elaborarea unui proiect de specialitate sau cel puţin a unei părţi a unui asemenea proiect, aplicând atât cunoştinţe, teorii şi metode de diagnoză şi intervenţie, cât şi norme şi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principii de etică profesională</w:t>
            </w:r>
          </w:p>
          <w:p w:rsidR="00735300" w:rsidRDefault="00502496" w:rsidP="00502496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502496">
              <w:rPr>
                <w:rFonts w:ascii="Arial" w:hAnsi="Arial" w:cs="Arial"/>
                <w:sz w:val="18"/>
                <w:szCs w:val="18"/>
                <w:lang w:val="ro-RO"/>
              </w:rPr>
              <w:t>Participarea la realizarea unui proiect in echipa, cu îndeplinirea</w:t>
            </w:r>
            <w:r w:rsidR="002F6B1F">
              <w:rPr>
                <w:rFonts w:ascii="Arial" w:hAnsi="Arial" w:cs="Arial"/>
                <w:sz w:val="18"/>
                <w:szCs w:val="18"/>
                <w:lang w:val="ro-RO"/>
              </w:rPr>
              <w:t xml:space="preserve"> unor funcţii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profesionale date</w:t>
            </w:r>
            <w:r w:rsidRPr="00502496">
              <w:rPr>
                <w:rFonts w:ascii="Arial" w:hAnsi="Arial" w:cs="Arial"/>
                <w:sz w:val="18"/>
                <w:szCs w:val="18"/>
                <w:lang w:val="ro-RO"/>
              </w:rPr>
              <w:t xml:space="preserve"> Identificarea nevoii de formare profesională şi realizarea unui plan de carieră, prin utilizarea resurselor informaţionale</w:t>
            </w:r>
          </w:p>
          <w:p w:rsidR="00477477" w:rsidRPr="00477477" w:rsidRDefault="00477477" w:rsidP="00477477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477477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477477" w:rsidRPr="00477477" w:rsidRDefault="00477477" w:rsidP="00477477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477477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Aplicarea tehnicilor de muncă eficientă în echipa multidisciplinară cu îndeplinirea anumitor sarcini pe paliere ierarhice</w:t>
            </w:r>
          </w:p>
          <w:p w:rsidR="00477477" w:rsidRPr="00477477" w:rsidRDefault="00477477" w:rsidP="00477477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477477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Autoevaluarea nevoii de formare profesională în scopul inserţiei şi a adaptării la cerinţele pieţei muncii</w:t>
            </w:r>
          </w:p>
        </w:tc>
      </w:tr>
    </w:tbl>
    <w:p w:rsidR="006F26DA" w:rsidRPr="00AB0F70" w:rsidRDefault="006F26DA" w:rsidP="00500AE8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851"/>
        <w:gridCol w:w="1418"/>
        <w:gridCol w:w="1621"/>
      </w:tblGrid>
      <w:tr w:rsidR="006F26DA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851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AB0F70">
        <w:trPr>
          <w:trHeight w:val="23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Definiţii ale relaţiilor publice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F5D14" w:rsidRPr="009F5D14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prelegere orală cu secţiuni interactive</w:t>
            </w:r>
          </w:p>
          <w:p w:rsidR="009F5D14" w:rsidRPr="009F5D14" w:rsidRDefault="009F5D14" w:rsidP="009F5D1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prezentare cu videoproiector</w:t>
            </w:r>
          </w:p>
          <w:p w:rsidR="007E3941" w:rsidRDefault="009F5D14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9F5D14">
              <w:rPr>
                <w:rFonts w:ascii="Arial" w:hAnsi="Arial" w:cs="Arial"/>
                <w:sz w:val="18"/>
                <w:szCs w:val="18"/>
                <w:lang w:val="ro-RO"/>
              </w:rPr>
              <w:t>distribuţie schiţă de curs, indicaţii bibliografice</w:t>
            </w:r>
          </w:p>
          <w:p w:rsidR="009F5D14" w:rsidRPr="009F5D14" w:rsidRDefault="009F5D14" w:rsidP="009F5D14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7E3941" w:rsidRPr="00D15ECA" w:rsidRDefault="009F5D14" w:rsidP="00D15ECA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Scurte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prezent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a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ri</w:t>
            </w:r>
            <w:proofErr w:type="spellEnd"/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în </w:t>
            </w:r>
            <w:proofErr w:type="spellStart"/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power-point</w:t>
            </w:r>
            <w:proofErr w:type="spellEnd"/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stimularea exerci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iului </w:t>
            </w:r>
            <w:r w:rsidR="00D15ECA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de comunicare</w:t>
            </w: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A71E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Relaţia cu presa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A71EC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Comunicatul de presă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07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Dosarul de presă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48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9F5D14">
            <w:pPr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caps/>
                <w:sz w:val="18"/>
                <w:szCs w:val="18"/>
                <w:lang w:val="ro-RO"/>
              </w:rPr>
              <w:t>C</w:t>
            </w: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onferinţa de presă</w:t>
            </w:r>
          </w:p>
        </w:tc>
        <w:tc>
          <w:tcPr>
            <w:tcW w:w="851" w:type="dxa"/>
          </w:tcPr>
          <w:p w:rsidR="007E3941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65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7E3941" w:rsidRPr="009F5D14" w:rsidRDefault="00E801D3" w:rsidP="009F5D14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evista presei</w:t>
            </w:r>
          </w:p>
        </w:tc>
        <w:tc>
          <w:tcPr>
            <w:tcW w:w="851" w:type="dxa"/>
          </w:tcPr>
          <w:p w:rsidR="007E3941" w:rsidRPr="00D15ECA" w:rsidRDefault="00D15ECA" w:rsidP="00D15ECA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9F5D1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Comunicarea cu presa în timpul crizei</w:t>
            </w:r>
          </w:p>
        </w:tc>
        <w:tc>
          <w:tcPr>
            <w:tcW w:w="851" w:type="dxa"/>
          </w:tcPr>
          <w:p w:rsidR="007E3941" w:rsidRPr="00D15ECA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  <w:gridSpan w:val="2"/>
          </w:tcPr>
          <w:p w:rsidR="007E3941" w:rsidRPr="00AB0F70" w:rsidRDefault="00E801D3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Comunicarea pentru radio şi televiziune</w:t>
            </w:r>
          </w:p>
        </w:tc>
        <w:tc>
          <w:tcPr>
            <w:tcW w:w="851" w:type="dxa"/>
          </w:tcPr>
          <w:p w:rsidR="007E3941" w:rsidRPr="00E801D3" w:rsidRDefault="00E801D3" w:rsidP="00D15ECA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Borders>
              <w:bottom w:val="nil"/>
            </w:tcBorders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AB0F70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9</w:t>
            </w:r>
          </w:p>
        </w:tc>
        <w:tc>
          <w:tcPr>
            <w:tcW w:w="5414" w:type="dxa"/>
            <w:gridSpan w:val="2"/>
          </w:tcPr>
          <w:p w:rsidR="009F5D14" w:rsidRPr="00AB0F70" w:rsidRDefault="00E801D3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Campania de presă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AB0F70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10</w:t>
            </w:r>
          </w:p>
        </w:tc>
        <w:tc>
          <w:tcPr>
            <w:tcW w:w="5414" w:type="dxa"/>
            <w:gridSpan w:val="2"/>
          </w:tcPr>
          <w:p w:rsidR="009F5D14" w:rsidRPr="00AB0F70" w:rsidRDefault="00E801D3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01D3">
              <w:rPr>
                <w:rFonts w:ascii="Arial" w:hAnsi="Arial" w:cs="Arial"/>
                <w:sz w:val="18"/>
                <w:szCs w:val="18"/>
                <w:lang w:val="ro-RO"/>
              </w:rPr>
              <w:t>Tactici specifice relaţiilor publice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11</w:t>
            </w:r>
          </w:p>
        </w:tc>
        <w:tc>
          <w:tcPr>
            <w:tcW w:w="5414" w:type="dxa"/>
            <w:gridSpan w:val="2"/>
          </w:tcPr>
          <w:p w:rsidR="00A90703" w:rsidRPr="00A90703" w:rsidRDefault="00E801D3" w:rsidP="00A9070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Purtătorul de cuvânt</w:t>
            </w:r>
          </w:p>
          <w:p w:rsidR="009F5D14" w:rsidRPr="009F5D14" w:rsidRDefault="009F5D14" w:rsidP="009F5D14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bottom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F5D14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9F5D14" w:rsidRPr="009F5D14" w:rsidRDefault="009F5D14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12</w:t>
            </w:r>
          </w:p>
        </w:tc>
        <w:tc>
          <w:tcPr>
            <w:tcW w:w="5414" w:type="dxa"/>
            <w:gridSpan w:val="2"/>
          </w:tcPr>
          <w:p w:rsidR="009F5D14" w:rsidRPr="006659AB" w:rsidRDefault="00E801D3" w:rsidP="00A90703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Relaţia dintre jurnalişti şi specialiştii în relaţii specifice</w:t>
            </w:r>
          </w:p>
        </w:tc>
        <w:tc>
          <w:tcPr>
            <w:tcW w:w="851" w:type="dxa"/>
          </w:tcPr>
          <w:p w:rsidR="009F5D14" w:rsidRPr="00D15ECA" w:rsidRDefault="00D15ECA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9F5D14" w:rsidRPr="00AB0F70" w:rsidRDefault="009F5D14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801D3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E801D3" w:rsidRDefault="00E801D3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13</w:t>
            </w:r>
          </w:p>
        </w:tc>
        <w:tc>
          <w:tcPr>
            <w:tcW w:w="5414" w:type="dxa"/>
            <w:gridSpan w:val="2"/>
          </w:tcPr>
          <w:p w:rsidR="00E801D3" w:rsidRPr="00E801D3" w:rsidRDefault="00E801D3" w:rsidP="00A90703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Aplicaţii practice – conferinţa de presă</w:t>
            </w:r>
          </w:p>
        </w:tc>
        <w:tc>
          <w:tcPr>
            <w:tcW w:w="851" w:type="dxa"/>
          </w:tcPr>
          <w:p w:rsidR="00E801D3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801D3" w:rsidRPr="00AB0F70" w:rsidRDefault="00E801D3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E801D3" w:rsidRPr="00AB0F70" w:rsidRDefault="00E801D3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801D3" w:rsidRPr="00AB0F70" w:rsidTr="006659AB">
        <w:trPr>
          <w:trHeight w:val="330"/>
          <w:jc w:val="center"/>
        </w:trPr>
        <w:tc>
          <w:tcPr>
            <w:tcW w:w="461" w:type="dxa"/>
            <w:vAlign w:val="center"/>
          </w:tcPr>
          <w:p w:rsidR="00E801D3" w:rsidRDefault="00E801D3" w:rsidP="009F5D14">
            <w:pPr>
              <w:rPr>
                <w:rFonts w:ascii="Arial" w:eastAsia="MS Mincho" w:hAnsi="Arial" w:cs="Arial"/>
                <w:bCs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bCs/>
                <w:sz w:val="18"/>
                <w:szCs w:val="18"/>
                <w:lang w:val="ro-RO" w:eastAsia="ja-JP"/>
              </w:rPr>
              <w:t>14</w:t>
            </w:r>
          </w:p>
        </w:tc>
        <w:tc>
          <w:tcPr>
            <w:tcW w:w="5414" w:type="dxa"/>
            <w:gridSpan w:val="2"/>
          </w:tcPr>
          <w:p w:rsidR="00E801D3" w:rsidRPr="00E801D3" w:rsidRDefault="00E801D3" w:rsidP="00E801D3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Aplicaţii practice – 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ampania</w:t>
            </w: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 presă</w:t>
            </w:r>
          </w:p>
        </w:tc>
        <w:tc>
          <w:tcPr>
            <w:tcW w:w="851" w:type="dxa"/>
          </w:tcPr>
          <w:p w:rsidR="00E801D3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801D3" w:rsidRPr="00AB0F70" w:rsidRDefault="00E801D3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nil"/>
            </w:tcBorders>
            <w:vAlign w:val="center"/>
          </w:tcPr>
          <w:p w:rsidR="00E801D3" w:rsidRPr="00AB0F70" w:rsidRDefault="00E801D3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F26C9C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E801D3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</w:p>
          <w:p w:rsidR="00AB0F70" w:rsidRPr="00AE6D1C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E6D1C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Agrabian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Mircea, Comunicarea: o abordare practică, Napoca Star, Cluj Napoca,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Balle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Francis, Comunicarea, în Boudon, R. (coord.), Tratat de sociologie, Humanitas, 1997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Beciu Camelia, Comunicare politică,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BLAND, Michael, THEAKER,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Alison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WRAGG, Davis, Relaţii eficiente cu mass-media,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CARRELL, Bob, NEWSON,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Doug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Redactarea materialelor de relaţii publice, Editura, Polirom, Iaşi, 2004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Caune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Jean, Cultura şi comunicare, Cartea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Romanească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Chiru, Irena, Comunicarea interpersonală,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Cuilenburg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J. J. Van,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Scholten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O.,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Noomen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G.W., Ştiinţa comunicării, Humanitas, Bucureşti,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COMAN, Cristina, Campania de relaţii publice – tehnici de comunicare cu presa,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lastRenderedPageBreak/>
              <w:t>COMAN, Cristina, Relaţiile publice şi mass-media, Editura Polirom, Iaşi,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COMAN Cristina,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 – principii si strategii,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CHICIUDEAN, Ion, TONES, Valeriu, Gestionarea crizelor de imagine,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Chiru Irena, Comunicarea interpersonală,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Dagenais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Profesia 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relaţionist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Dagenais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Campania de relaţii publice,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Dobrescu Emilian, Sociologia comunicării, Victor, Bucureşti, 1998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Fleur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Melvin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Teorii ale comunicării de masă, Polirom, Iaşi,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De Vito, Joseph,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HumanCommunication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HarperandRow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1988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Dinu, Mihai, Introducere în teoria comunicării, EUB, 1993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Drăgan, Ioan, Paradigme ale comunicării de masă, Şansa, Bucureşti, 1997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FleurL.Melvin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Ball-Rokeach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S. - Teorii ale comunicării de masă, Polirom, Iaşi,1999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Fiske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John, Introducere în ştiinţele comunicării,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FlichyPatrice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- O istorie a comunicării moderne. Spaţiu public şi viaţa privată,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JouveMichPle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Comunicarea. Publicitate şi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Polirom, Iaşi,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KapfererJean-Noel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Căile persuasiunii-modul de influenţare a comportamentelor prin mass-media şi publicitate,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LARSON U. Charles, Persuasiunea-receptare si responsabilitate,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Lohisse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Jean, Comunicarea de la transmiterea mecanică la interacţiune,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Lull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James, Mass-media, comunicare, cultura-o abordare globală, manipularea prin informaţie, Samizdat, Oradea,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Maxim Cornelia,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LazeaHermiona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Secretariat şi corespondenţa instituţională, SNSPA,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McQuaill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Denis,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WindahlSven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Modele ale comunicării pentru studiul comunicării de masa, SNSPA, Bucureşti,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McQuaill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Denis, Comunicarea, Institutul European, Iaşi,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Marinescu, Valentina, Introducere în teoria comunicării: principii, modele, aplicaţii,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Middleton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Kent şi colectiv, Legislaţia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comunicarii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Miege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Gândirea comunicaţională, Cartea Românească, Bucureşti, 1998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Moarcas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Octavian, Relaţii publice şi societatea contemporană, Independenţa Economică, Piteşti,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Mucchielli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Alex, Arta de a influenţa-analiza tehnicilor de manipulare,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PAPUC Mihai, Tehnici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promotionale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Universitara,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2004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POP Doru, Introducere in teoria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relatiilor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Dacia, Cluj Napoca,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Popescu, Georgiana, Comunicarea non-verbală în societatea actuală, Editura Universităţii din Piteşti, 2009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Popescu Georgiana, Relaţii publice şi comunicare,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Tiparg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2011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Pricopie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Remus, Relaţiile publice.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Evolutie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şi perspective,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Rogojinaru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Adela, Relaţiile publice. Fundamente interdisciplinare,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Sachelarie, Octavian Mihail, Universul comunicării. Concepte sociologice, Editura Universităţii din Piteşti, 2005</w:t>
            </w:r>
          </w:p>
          <w:p w:rsidR="00D4314F" w:rsidRPr="006659AB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Zemor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Pierre, Comunicarea publică, Institutul European, Iaşi, 2003</w:t>
            </w:r>
          </w:p>
        </w:tc>
      </w:tr>
      <w:tr w:rsidR="00AB0F70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851" w:type="dxa"/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AB0F70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7E3941" w:rsidRPr="00A0776F" w:rsidRDefault="007E3941" w:rsidP="009950AA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hAnsi="Arial" w:cs="Arial"/>
                <w:sz w:val="18"/>
                <w:szCs w:val="18"/>
                <w:lang w:val="ro-RO"/>
              </w:rPr>
              <w:t>Explicaţii introductive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9950AA" w:rsidP="00AB0F70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p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ezent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a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ri</w:t>
            </w:r>
            <w:proofErr w:type="spellEnd"/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referate, dezbatere pe baza unor teme, exerci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ii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,</w:t>
            </w:r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studiul de caz, </w:t>
            </w:r>
            <w:proofErr w:type="spellStart"/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explica</w:t>
            </w:r>
            <w:r w:rsidR="00A0776F">
              <w:rPr>
                <w:rFonts w:ascii="Arial" w:eastAsia="MS Mincho" w:hAnsi="Arial" w:cs="Arial" w:hint="eastAsia"/>
                <w:color w:val="000000"/>
                <w:sz w:val="18"/>
                <w:szCs w:val="18"/>
                <w:lang w:val="ro-RO" w:eastAsia="ja-JP"/>
              </w:rPr>
              <w:t>t</w:t>
            </w:r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ie</w:t>
            </w:r>
            <w:proofErr w:type="spellEnd"/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</w:t>
            </w:r>
          </w:p>
          <w:p w:rsidR="007E3941" w:rsidRPr="00A0776F" w:rsidRDefault="007E3941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lucrul în </w:t>
            </w:r>
            <w:r w:rsidR="00A0776F">
              <w:rPr>
                <w:rFonts w:ascii="Arial" w:hAnsi="Arial" w:cs="Arial"/>
                <w:sz w:val="18"/>
                <w:szCs w:val="18"/>
                <w:lang w:val="ro-RO"/>
              </w:rPr>
              <w:t xml:space="preserve">grup pe documente de </w:t>
            </w:r>
            <w:proofErr w:type="spellStart"/>
            <w:r w:rsidR="00A0776F">
              <w:rPr>
                <w:rFonts w:ascii="Arial" w:hAnsi="Arial" w:cs="Arial"/>
                <w:sz w:val="18"/>
                <w:szCs w:val="18"/>
                <w:lang w:val="ro-RO"/>
              </w:rPr>
              <w:t>referi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nta</w:t>
            </w:r>
            <w:proofErr w:type="spellEnd"/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lucru,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plan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e,</w:t>
            </w:r>
          </w:p>
          <w:p w:rsidR="007E3941" w:rsidRPr="00E801D3" w:rsidRDefault="009950AA" w:rsidP="00AB0F70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video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proiector</w:t>
            </w:r>
            <w:r w:rsidR="00E801D3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, documente de </w:t>
            </w:r>
            <w:proofErr w:type="spellStart"/>
            <w:r w:rsidR="00E801D3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referinte</w:t>
            </w:r>
            <w:proofErr w:type="spellEnd"/>
          </w:p>
        </w:tc>
      </w:tr>
      <w:tr w:rsidR="007E3941" w:rsidRPr="00AB0F70" w:rsidTr="00AB0F70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7E3941" w:rsidRPr="00A0776F" w:rsidRDefault="007E3941" w:rsidP="00E801D3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0776F">
              <w:rPr>
                <w:rFonts w:ascii="Arial" w:hAnsi="Arial" w:cs="Arial"/>
                <w:sz w:val="18"/>
                <w:szCs w:val="18"/>
                <w:lang w:val="ro-RO"/>
              </w:rPr>
              <w:t xml:space="preserve">Noţiunea de </w:t>
            </w:r>
            <w:proofErr w:type="spellStart"/>
            <w:r w:rsidR="00E801D3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relatii</w:t>
            </w:r>
            <w:proofErr w:type="spellEnd"/>
            <w:r w:rsidR="00E801D3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 publice</w:t>
            </w:r>
          </w:p>
        </w:tc>
        <w:tc>
          <w:tcPr>
            <w:tcW w:w="851" w:type="dxa"/>
            <w:vAlign w:val="center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7E3941" w:rsidRPr="00A0776F" w:rsidRDefault="00E801D3" w:rsidP="00AB0F70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Relatia</w:t>
            </w:r>
            <w:proofErr w:type="spellEnd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 cu mass-media</w:t>
            </w:r>
          </w:p>
        </w:tc>
        <w:tc>
          <w:tcPr>
            <w:tcW w:w="851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7E3941" w:rsidRPr="00A0776F" w:rsidRDefault="00E801D3" w:rsidP="00AB0F70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omunicatul de presa </w:t>
            </w:r>
          </w:p>
        </w:tc>
        <w:tc>
          <w:tcPr>
            <w:tcW w:w="851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386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caps/>
                <w:sz w:val="18"/>
                <w:szCs w:val="18"/>
                <w:lang w:val="ro-RO" w:eastAsia="ja-JP"/>
              </w:rPr>
            </w:pPr>
            <w:proofErr w:type="spellStart"/>
            <w:r>
              <w:rPr>
                <w:rFonts w:ascii="Arial" w:eastAsia="MS Mincho" w:hAnsi="Arial" w:cs="Arial" w:hint="eastAsia"/>
                <w:caps/>
                <w:sz w:val="18"/>
                <w:szCs w:val="18"/>
                <w:lang w:val="ro-RO" w:eastAsia="ja-JP"/>
              </w:rPr>
              <w:t>C</w:t>
            </w:r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onferinta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 presa</w:t>
            </w:r>
          </w:p>
        </w:tc>
        <w:tc>
          <w:tcPr>
            <w:tcW w:w="851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386" w:type="dxa"/>
          </w:tcPr>
          <w:p w:rsidR="007E3941" w:rsidRPr="009950AA" w:rsidRDefault="00E801D3" w:rsidP="00E801D3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Institutiapurtatorului</w:t>
            </w:r>
            <w:proofErr w:type="spellEnd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 xml:space="preserve"> de </w:t>
            </w: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cuvant</w:t>
            </w:r>
            <w:proofErr w:type="spellEnd"/>
          </w:p>
        </w:tc>
        <w:tc>
          <w:tcPr>
            <w:tcW w:w="851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A0776F" w:rsidRPr="00A0776F" w:rsidRDefault="00E801D3" w:rsidP="00E801D3">
            <w:pPr>
              <w:jc w:val="both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Aplicaţii practice – </w:t>
            </w:r>
            <w:proofErr w:type="spellStart"/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conferinta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 presă</w:t>
            </w:r>
          </w:p>
        </w:tc>
        <w:tc>
          <w:tcPr>
            <w:tcW w:w="851" w:type="dxa"/>
          </w:tcPr>
          <w:p w:rsidR="007E3941" w:rsidRPr="00A0776F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386" w:type="dxa"/>
          </w:tcPr>
          <w:p w:rsidR="007E3941" w:rsidRPr="00A0776F" w:rsidRDefault="00E801D3" w:rsidP="00AB0F70">
            <w:pPr>
              <w:ind w:left="-29"/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Aplicaţii practice – campania de presă</w:t>
            </w:r>
          </w:p>
        </w:tc>
        <w:tc>
          <w:tcPr>
            <w:tcW w:w="851" w:type="dxa"/>
          </w:tcPr>
          <w:p w:rsidR="007E3941" w:rsidRPr="00E801D3" w:rsidRDefault="00E801D3" w:rsidP="00AB0F70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661AE1">
        <w:trPr>
          <w:jc w:val="center"/>
        </w:trPr>
        <w:tc>
          <w:tcPr>
            <w:tcW w:w="9765" w:type="dxa"/>
            <w:gridSpan w:val="6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Bibliografie </w:t>
            </w: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orientativã</w:t>
            </w:r>
            <w:proofErr w:type="spellEnd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Agrabian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Mircea, Comunicarea: o abordare practică, Napoca Star, Cluj Napoca,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Balle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Francis, Comunicarea, în Boudon, R. (coord.), Tratat de sociologie, Humanitas, 1997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Beciu Camelia, Comunicare politică,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BLAND, Michael, THEAKER,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Alison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WRAGG, Davis, Relaţii eficiente cu mass-media,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CARRELL, Bob, NEWSON,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Doug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Redactarea materialelor de relaţii publice, Editura, Polirom, Iaşi, 2004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Caune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Jean, Cultura şi comunicare, Cartea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Romanească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Chiru, Irena, Comunicarea interpersonală,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Cuilenburg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J. J. Van,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Scholten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O.,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Noomen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G.W., Ştiinţa comunicării, Humanitas, Bucureşti,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COMAN, Cristina, Campania de relaţii publice – tehnici de comunicare cu presa,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All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COMAN, Cristina, Relaţiile publice şi mass-media, Editura Polirom, Iaşi, 2000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COMAN Cristina,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 – principii si strategii,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CHICIUDEAN, Ion, TONES, Valeriu, Gestionarea crizelor de imagine,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Chiru Irena, Comunicarea interpersonală,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Dagenais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Profesia 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relaţionist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Dagenais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Campania de relaţii publice,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Dobrescu Emilian, Sociologia comunicării, Victor, Bucureşti, 1998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Fleur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Melvin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Teorii ale comunicării de masă, Polirom, Iaşi,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lastRenderedPageBreak/>
              <w:t xml:space="preserve">De Vito, Joseph,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HumanCommunication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HarperandRow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1988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Dinu, Mihai, Introducere în teoria comunicării, EUB, 1993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Drăgan, Ioan, Paradigme ale comunicării de masă, Şansa, Bucureşti, 1997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De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FleurL.Melvin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Ball-Rokeach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S. - Teorii ale comunicării de masă, Polirom, Iaşi,1999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Fiske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John, Introducere în ştiinţele comunicării,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FlichyPatrice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- O istorie a comunicării moderne. Spaţiu public şi viaţa privată,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JouveMichPle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Comunicarea. Publicitate şi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Polirom, Iaşi,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KapfererJean-Noel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Căile persuasiunii-modul de influenţare a comportamentelor prin mass-media şi publicitate,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Comunicare.ro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LARSON U. Charles, Persuasiunea-receptare si responsabilitate, Polirom,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Iasi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Lohisse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Jean, Comunicarea de la transmiterea mecanică la interacţiune,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Lull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James, Mass-media, comunicare, cultura-o abordare globală, manipularea prin informaţie, Samizdat, Oradea,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Maxim Cornelia,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LazeaHermiona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Secretariat şi corespondenţa instituţională, SNSPA,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McQuaill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Denis,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WindahlSven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Modele ale comunicării pentru studiul comunicării de masa, SNSPA, Bucureşti, 2001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McQuaill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Denis, Comunicarea, Institutul European, Iaşi, 1999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Marinescu, Valentina, Introducere în teoria comunicării: principii, modele, aplicaţii,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Middleton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Kent şi colectiv, Legislaţia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comunicarii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Polirom, Iaşi, 2002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Miege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Bernard, Gândirea comunicaţională, Cartea Românească, Bucureşti, 1998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Moarcas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Octavian, Relaţii publice şi societatea contemporană, Independenţa Economică, Piteşti,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Mucchielli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Alex, Arta de a influenţa-analiza tehnicilor de manipulare, Polirom, Iaşi,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PAPUC Mihai, Tehnici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promotionale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, Universitara,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Bucuresti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2004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POP Doru, Introducere in teoria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relatiilor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publice, Dacia, Cluj Napoca, 2003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Popescu, Georgiana, Comunicarea non-verbală în societatea actuală, Editura Universităţii din Piteşti, 2009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Popescu Georgiana, Relaţii publice şi comunicare, Editura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Tiparg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2011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Pricopie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Remus, Relaţiile publice.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Evolutie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şi perspective,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Rogojinaru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Adela, Relaţiile publice. Fundamente interdisciplinare, </w:t>
            </w: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Tritonic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, Bucureşti, 2005</w:t>
            </w:r>
          </w:p>
          <w:p w:rsidR="00E801D3" w:rsidRPr="00E801D3" w:rsidRDefault="00E801D3" w:rsidP="00E801D3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Sachelarie, Octavian Mihail, Universul comunicării. Concepte sociologice, Editura Universităţii din Piteşti, 2005</w:t>
            </w:r>
          </w:p>
          <w:p w:rsidR="00AB0F70" w:rsidRPr="00AE6D1C" w:rsidRDefault="00E801D3" w:rsidP="00E801D3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>Zemor</w:t>
            </w:r>
            <w:proofErr w:type="spellEnd"/>
            <w:r w:rsidRPr="00E801D3"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  <w:t xml:space="preserve"> Pierre, Comunicarea publică, Institutul European, Iaşi, 2003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</w:t>
      </w:r>
      <w:proofErr w:type="spellStart"/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comunitaţii</w:t>
      </w:r>
      <w:proofErr w:type="spellEnd"/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F26DA" w:rsidRPr="00AB0F70" w:rsidTr="00F26C9C">
        <w:trPr>
          <w:jc w:val="center"/>
        </w:trPr>
        <w:tc>
          <w:tcPr>
            <w:tcW w:w="9747" w:type="dxa"/>
          </w:tcPr>
          <w:p w:rsidR="006F26DA" w:rsidRPr="00AB0F70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corectitudinea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ac</w:t>
            </w:r>
            <w:r w:rsidR="00962D5C">
              <w:rPr>
                <w:rFonts w:ascii="Arial" w:hAnsi="Arial" w:cs="Arial"/>
                <w:sz w:val="18"/>
                <w:szCs w:val="18"/>
                <w:lang w:val="ro-RO"/>
              </w:rPr>
              <w:t>urateț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ea folosirii conceptelor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teoriilor însuș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ite la nivelu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 disciplinei – vor satisface așteptările reprezentanților comunităț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936E34" w:rsidRDefault="00AA570D" w:rsidP="00936E3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</w:t>
            </w:r>
            <w:r w:rsidR="00E801D3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t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ele procedurale și atitudinale ce vor fi achiziț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ionate la nivelul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disciplinei – vor </w:t>
            </w: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satisfaceașteptărilereprezentanților</w:t>
            </w:r>
            <w:proofErr w:type="spellEnd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asociaț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iilor profesion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ale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="00936E34">
              <w:rPr>
                <w:rFonts w:ascii="Arial" w:hAnsi="Arial" w:cs="Arial"/>
                <w:sz w:val="18"/>
                <w:szCs w:val="18"/>
                <w:lang w:val="ro-RO"/>
              </w:rPr>
              <w:t>angajatorilor din domeniu.</w:t>
            </w:r>
          </w:p>
          <w:p w:rsidR="006F26DA" w:rsidRPr="00AB0F70" w:rsidRDefault="00AA570D" w:rsidP="00936E34">
            <w:pPr>
              <w:ind w:left="72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Notă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: Gradul de satisfac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ie al reprezentan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ilor comunită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ii academice 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al angajatorilor fa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competen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profesionale 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 transversale dobândite de că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tre absolven</w:t>
            </w:r>
            <w:r w:rsidR="006F26DA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vor fi dovedite prin schimburi de bune practici 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6F26DA" w:rsidRPr="00AB0F70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6F26DA" w:rsidRPr="00AB0F70" w:rsidTr="00D32638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6F26DA" w:rsidRPr="00802A44" w:rsidRDefault="006F26DA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</w:tc>
        <w:tc>
          <w:tcPr>
            <w:tcW w:w="2978" w:type="dxa"/>
          </w:tcPr>
          <w:p w:rsidR="006F26DA" w:rsidRPr="00AB0F70" w:rsidRDefault="00A401BA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Evaluare finală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6F26DA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6F26DA" w:rsidRPr="00AB0F70" w:rsidRDefault="00A401B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AB0F70" w:rsidTr="007A34CF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D4314F" w:rsidRPr="00AB0F70" w:rsidRDefault="00D4314F" w:rsidP="00D431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D4314F" w:rsidRDefault="00D4314F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  <w:p w:rsidR="006F26DA" w:rsidRPr="00AB0F70" w:rsidRDefault="00962D5C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-participarea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activă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6F26DA" w:rsidRPr="00AB0F70" w:rsidRDefault="006F26DA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="00D4314F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A570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-Prezentarea</w:t>
            </w:r>
            <w:proofErr w:type="spellEnd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orală a temei de casă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6F26DA" w:rsidRPr="00AB0F70" w:rsidRDefault="006F26DA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-Test</w:t>
            </w:r>
            <w:proofErr w:type="spellEnd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verificare în timpul semestrului.</w:t>
            </w:r>
          </w:p>
        </w:tc>
        <w:tc>
          <w:tcPr>
            <w:tcW w:w="1448" w:type="dxa"/>
          </w:tcPr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401B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6F26DA" w:rsidRPr="00AB0F70" w:rsidTr="00B309CC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6F26DA" w:rsidRPr="00AB0F70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1. Comunicarea unor informații 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>utilizând corect limbajul de specialitate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0776F" w:rsidRDefault="00AA570D" w:rsidP="00B309CC">
            <w:pPr>
              <w:rPr>
                <w:rFonts w:ascii="Arial" w:eastAsia="MS Mincho" w:hAnsi="Arial" w:cs="Arial"/>
                <w:sz w:val="18"/>
                <w:szCs w:val="18"/>
                <w:lang w:val="ro-RO" w:eastAsia="ja-JP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Cunoașterea principalelor tehnici de </w:t>
            </w:r>
            <w:r w:rsidR="00A0776F">
              <w:rPr>
                <w:rFonts w:ascii="Arial" w:eastAsia="MS Mincho" w:hAnsi="Arial" w:cs="Arial" w:hint="eastAsia"/>
                <w:sz w:val="18"/>
                <w:szCs w:val="18"/>
                <w:lang w:val="ro-RO" w:eastAsia="ja-JP"/>
              </w:rPr>
              <w:t>comunicare</w:t>
            </w:r>
          </w:p>
          <w:p w:rsidR="006F26DA" w:rsidRPr="00AB0F70" w:rsidRDefault="006F26DA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Capacitatea de a aplica achiziț</w:t>
            </w:r>
            <w:r w:rsidR="00AA570D" w:rsidRPr="00AB0F70">
              <w:rPr>
                <w:rFonts w:ascii="Arial" w:hAnsi="Arial" w:cs="Arial"/>
                <w:sz w:val="18"/>
                <w:szCs w:val="18"/>
                <w:lang w:val="ro-RO"/>
              </w:rPr>
              <w:t>iile în realizarea temei de casă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6F26DA" w:rsidRPr="00AB0F70" w:rsidRDefault="006F26DA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4. Nota 5 la evaluarea </w:t>
            </w:r>
            <w:proofErr w:type="spellStart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finalã</w:t>
            </w:r>
            <w:proofErr w:type="spellEnd"/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>Data completării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>Titular de seminar / laborator,</w:t>
      </w:r>
    </w:p>
    <w:p w:rsidR="006F26DA" w:rsidRPr="00E801D3" w:rsidRDefault="002C3EFE" w:rsidP="00F26C9C">
      <w:pPr>
        <w:rPr>
          <w:rFonts w:ascii="Arial" w:eastAsia="MS Mincho" w:hAnsi="Arial" w:cs="Arial"/>
          <w:sz w:val="18"/>
          <w:szCs w:val="18"/>
          <w:lang w:val="ro-RO" w:eastAsia="ja-JP"/>
        </w:rPr>
      </w:pPr>
      <w:r>
        <w:rPr>
          <w:rFonts w:ascii="Arial" w:hAnsi="Arial" w:cs="Arial"/>
          <w:sz w:val="18"/>
          <w:szCs w:val="18"/>
          <w:lang w:val="ro-RO"/>
        </w:rPr>
        <w:t>04.09.20</w:t>
      </w:r>
      <w:r w:rsidR="005043FF">
        <w:rPr>
          <w:rFonts w:ascii="Arial" w:hAnsi="Arial" w:cs="Arial"/>
          <w:sz w:val="18"/>
          <w:szCs w:val="18"/>
          <w:lang w:val="ro-RO"/>
        </w:rPr>
        <w:t>20</w:t>
      </w:r>
      <w:r w:rsidR="00AA570D" w:rsidRPr="00AB0F70">
        <w:rPr>
          <w:rFonts w:ascii="Arial" w:hAnsi="Arial" w:cs="Arial"/>
          <w:sz w:val="18"/>
          <w:szCs w:val="18"/>
          <w:lang w:val="ro-RO"/>
        </w:rPr>
        <w:tab/>
      </w:r>
      <w:r w:rsidR="00A0776F">
        <w:rPr>
          <w:rFonts w:ascii="Arial" w:eastAsia="MS Mincho" w:hAnsi="Arial" w:cs="Arial" w:hint="eastAsia"/>
          <w:sz w:val="18"/>
          <w:szCs w:val="18"/>
          <w:lang w:val="ro-RO" w:eastAsia="ja-JP"/>
        </w:rPr>
        <w:t>Conf</w:t>
      </w:r>
      <w:r w:rsidR="00962D5C">
        <w:rPr>
          <w:rFonts w:ascii="Arial" w:hAnsi="Arial" w:cs="Arial"/>
          <w:sz w:val="18"/>
          <w:szCs w:val="18"/>
          <w:lang w:val="ro-RO"/>
        </w:rPr>
        <w:t xml:space="preserve">. univ. dr. </w:t>
      </w:r>
      <w:r w:rsidR="00E801D3">
        <w:rPr>
          <w:rFonts w:ascii="Arial" w:eastAsia="MS Mincho" w:hAnsi="Arial" w:cs="Arial" w:hint="eastAsia"/>
          <w:sz w:val="18"/>
          <w:szCs w:val="18"/>
          <w:lang w:val="ro-RO" w:eastAsia="ja-JP"/>
        </w:rPr>
        <w:t xml:space="preserve">Georgiana </w:t>
      </w:r>
      <w:proofErr w:type="spellStart"/>
      <w:r w:rsidR="00E801D3">
        <w:rPr>
          <w:rFonts w:ascii="Arial" w:eastAsia="MS Mincho" w:hAnsi="Arial" w:cs="Arial" w:hint="eastAsia"/>
          <w:sz w:val="18"/>
          <w:szCs w:val="18"/>
          <w:lang w:val="ro-RO" w:eastAsia="ja-JP"/>
        </w:rPr>
        <w:t>Draghici</w:t>
      </w:r>
      <w:proofErr w:type="spellEnd"/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A0776F">
        <w:rPr>
          <w:rFonts w:ascii="Arial" w:eastAsia="MS Mincho" w:hAnsi="Arial" w:cs="Arial" w:hint="eastAsia"/>
          <w:sz w:val="18"/>
          <w:szCs w:val="18"/>
          <w:lang w:val="ro-RO" w:eastAsia="ja-JP"/>
        </w:rPr>
        <w:t>Conf.</w:t>
      </w:r>
      <w:r w:rsidR="00AA570D" w:rsidRPr="00AB0F70">
        <w:rPr>
          <w:rFonts w:ascii="Arial" w:hAnsi="Arial" w:cs="Arial"/>
          <w:sz w:val="18"/>
          <w:szCs w:val="18"/>
          <w:lang w:val="ro-RO"/>
        </w:rPr>
        <w:t xml:space="preserve"> univ. dr. </w:t>
      </w:r>
      <w:r w:rsidR="00E801D3">
        <w:rPr>
          <w:rFonts w:ascii="Arial" w:eastAsia="MS Mincho" w:hAnsi="Arial" w:cs="Arial" w:hint="eastAsia"/>
          <w:sz w:val="18"/>
          <w:szCs w:val="18"/>
          <w:lang w:val="ro-RO" w:eastAsia="ja-JP"/>
        </w:rPr>
        <w:t xml:space="preserve">Georgiana </w:t>
      </w:r>
      <w:proofErr w:type="spellStart"/>
      <w:r w:rsidR="00E801D3">
        <w:rPr>
          <w:rFonts w:ascii="Arial" w:eastAsia="MS Mincho" w:hAnsi="Arial" w:cs="Arial" w:hint="eastAsia"/>
          <w:sz w:val="18"/>
          <w:szCs w:val="18"/>
          <w:lang w:val="ro-RO" w:eastAsia="ja-JP"/>
        </w:rPr>
        <w:t>Draghici</w:t>
      </w:r>
      <w:proofErr w:type="spellEnd"/>
    </w:p>
    <w:p w:rsidR="006F26DA" w:rsidRPr="00AB0F70" w:rsidRDefault="0013258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6DA" w:rsidRDefault="0043787D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                           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4D3A5C">
            <wp:extent cx="892078" cy="383958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92" cy="383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ro-RO"/>
        </w:rPr>
        <w:t xml:space="preserve">                       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20AC9B7">
            <wp:extent cx="890270" cy="384175"/>
            <wp:effectExtent l="0" t="0" r="0" b="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ro-RO"/>
        </w:rPr>
        <w:t xml:space="preserve">       </w:t>
      </w:r>
    </w:p>
    <w:p w:rsidR="00802A44" w:rsidRPr="00AB0F70" w:rsidRDefault="0043787D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              </w:t>
      </w: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 xml:space="preserve">Director de departament, 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="00AA570D" w:rsidRPr="00AB0F70">
        <w:rPr>
          <w:rFonts w:ascii="Arial" w:hAnsi="Arial" w:cs="Arial"/>
          <w:sz w:val="18"/>
          <w:szCs w:val="18"/>
          <w:lang w:val="ro-RO"/>
        </w:rPr>
        <w:t xml:space="preserve">Conf. univ. dr. Manuela Ciucurel </w:t>
      </w:r>
      <w:r w:rsidR="0024540D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3534A00">
            <wp:extent cx="981710" cy="57277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6DA" w:rsidRPr="00AB0F70" w:rsidRDefault="002C3EFE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18</w:t>
      </w:r>
      <w:r w:rsidRPr="002C3EFE">
        <w:rPr>
          <w:rFonts w:ascii="Arial" w:hAnsi="Arial" w:cs="Arial"/>
          <w:sz w:val="18"/>
          <w:szCs w:val="18"/>
          <w:lang w:val="ro-RO"/>
        </w:rPr>
        <w:t>.09.20</w:t>
      </w:r>
      <w:r w:rsidR="005043FF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</w:p>
    <w:p w:rsidR="006F26DA" w:rsidRPr="00AB0F70" w:rsidRDefault="0013258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F26DA" w:rsidRPr="00AB0F70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A8142EF"/>
    <w:multiLevelType w:val="hybridMultilevel"/>
    <w:tmpl w:val="0D1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9980DE5"/>
    <w:multiLevelType w:val="hybridMultilevel"/>
    <w:tmpl w:val="798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227BA"/>
    <w:multiLevelType w:val="hybridMultilevel"/>
    <w:tmpl w:val="93EEACC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D62A94"/>
    <w:multiLevelType w:val="hybridMultilevel"/>
    <w:tmpl w:val="423EB424"/>
    <w:lvl w:ilvl="0" w:tplc="EBEC7D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4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6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4"/>
  </w:num>
  <w:num w:numId="8">
    <w:abstractNumId w:val="31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6"/>
  </w:num>
  <w:num w:numId="14">
    <w:abstractNumId w:val="28"/>
  </w:num>
  <w:num w:numId="15">
    <w:abstractNumId w:val="11"/>
  </w:num>
  <w:num w:numId="16">
    <w:abstractNumId w:val="7"/>
  </w:num>
  <w:num w:numId="17">
    <w:abstractNumId w:val="14"/>
  </w:num>
  <w:num w:numId="18">
    <w:abstractNumId w:val="30"/>
  </w:num>
  <w:num w:numId="19">
    <w:abstractNumId w:val="23"/>
  </w:num>
  <w:num w:numId="20">
    <w:abstractNumId w:val="2"/>
  </w:num>
  <w:num w:numId="21">
    <w:abstractNumId w:val="15"/>
  </w:num>
  <w:num w:numId="22">
    <w:abstractNumId w:val="25"/>
  </w:num>
  <w:num w:numId="23">
    <w:abstractNumId w:val="10"/>
  </w:num>
  <w:num w:numId="24">
    <w:abstractNumId w:val="27"/>
  </w:num>
  <w:num w:numId="25">
    <w:abstractNumId w:val="18"/>
  </w:num>
  <w:num w:numId="26">
    <w:abstractNumId w:val="21"/>
  </w:num>
  <w:num w:numId="27">
    <w:abstractNumId w:val="24"/>
  </w:num>
  <w:num w:numId="28">
    <w:abstractNumId w:val="20"/>
  </w:num>
  <w:num w:numId="29">
    <w:abstractNumId w:val="12"/>
  </w:num>
  <w:num w:numId="30">
    <w:abstractNumId w:val="19"/>
  </w:num>
  <w:num w:numId="31">
    <w:abstractNumId w:val="9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6C9C"/>
    <w:rsid w:val="000043D8"/>
    <w:rsid w:val="00012284"/>
    <w:rsid w:val="0003672F"/>
    <w:rsid w:val="000458A7"/>
    <w:rsid w:val="00045AD2"/>
    <w:rsid w:val="0005519C"/>
    <w:rsid w:val="00056B48"/>
    <w:rsid w:val="00097134"/>
    <w:rsid w:val="000A2279"/>
    <w:rsid w:val="000B0DE4"/>
    <w:rsid w:val="000B1E06"/>
    <w:rsid w:val="000C3F36"/>
    <w:rsid w:val="000D18E0"/>
    <w:rsid w:val="000D278A"/>
    <w:rsid w:val="000D441C"/>
    <w:rsid w:val="0013258C"/>
    <w:rsid w:val="0014369C"/>
    <w:rsid w:val="00195B29"/>
    <w:rsid w:val="001D1DB9"/>
    <w:rsid w:val="001F41AE"/>
    <w:rsid w:val="0022726D"/>
    <w:rsid w:val="00231CE1"/>
    <w:rsid w:val="0024274B"/>
    <w:rsid w:val="0024540D"/>
    <w:rsid w:val="00271413"/>
    <w:rsid w:val="002C3EFE"/>
    <w:rsid w:val="002F0DA1"/>
    <w:rsid w:val="002F6B1F"/>
    <w:rsid w:val="00335945"/>
    <w:rsid w:val="00375D4E"/>
    <w:rsid w:val="003F7FF0"/>
    <w:rsid w:val="0043787D"/>
    <w:rsid w:val="004466DE"/>
    <w:rsid w:val="004526D2"/>
    <w:rsid w:val="00477477"/>
    <w:rsid w:val="004952C2"/>
    <w:rsid w:val="004F36DA"/>
    <w:rsid w:val="00500AE8"/>
    <w:rsid w:val="00502496"/>
    <w:rsid w:val="005043FF"/>
    <w:rsid w:val="00517E9B"/>
    <w:rsid w:val="00550963"/>
    <w:rsid w:val="005537AB"/>
    <w:rsid w:val="00594197"/>
    <w:rsid w:val="0064437F"/>
    <w:rsid w:val="00661754"/>
    <w:rsid w:val="00661AE1"/>
    <w:rsid w:val="006659AB"/>
    <w:rsid w:val="00694996"/>
    <w:rsid w:val="006E1D81"/>
    <w:rsid w:val="006F26DA"/>
    <w:rsid w:val="00735300"/>
    <w:rsid w:val="00781D0D"/>
    <w:rsid w:val="007A34CF"/>
    <w:rsid w:val="007A3AD3"/>
    <w:rsid w:val="007A7DD0"/>
    <w:rsid w:val="007B108F"/>
    <w:rsid w:val="007B43D5"/>
    <w:rsid w:val="007D4152"/>
    <w:rsid w:val="007E3941"/>
    <w:rsid w:val="00802A44"/>
    <w:rsid w:val="008111FA"/>
    <w:rsid w:val="0081588D"/>
    <w:rsid w:val="00817666"/>
    <w:rsid w:val="008477D0"/>
    <w:rsid w:val="008B5A09"/>
    <w:rsid w:val="008D1E35"/>
    <w:rsid w:val="008D3B6A"/>
    <w:rsid w:val="00916537"/>
    <w:rsid w:val="009301A3"/>
    <w:rsid w:val="00933DDD"/>
    <w:rsid w:val="00936E34"/>
    <w:rsid w:val="00936F0B"/>
    <w:rsid w:val="00962D5C"/>
    <w:rsid w:val="00987B41"/>
    <w:rsid w:val="009950AA"/>
    <w:rsid w:val="009C2B79"/>
    <w:rsid w:val="009C3D70"/>
    <w:rsid w:val="009D1AD1"/>
    <w:rsid w:val="009E3386"/>
    <w:rsid w:val="009F5D14"/>
    <w:rsid w:val="00A0776F"/>
    <w:rsid w:val="00A401BA"/>
    <w:rsid w:val="00A66048"/>
    <w:rsid w:val="00A71EC4"/>
    <w:rsid w:val="00A90703"/>
    <w:rsid w:val="00AA570D"/>
    <w:rsid w:val="00AB0F70"/>
    <w:rsid w:val="00AB53A4"/>
    <w:rsid w:val="00AB57FB"/>
    <w:rsid w:val="00AB6145"/>
    <w:rsid w:val="00AE38FC"/>
    <w:rsid w:val="00AE6D1C"/>
    <w:rsid w:val="00B05A56"/>
    <w:rsid w:val="00B1653E"/>
    <w:rsid w:val="00B2780E"/>
    <w:rsid w:val="00B309CC"/>
    <w:rsid w:val="00BC627B"/>
    <w:rsid w:val="00BE6254"/>
    <w:rsid w:val="00BF3690"/>
    <w:rsid w:val="00C22C6B"/>
    <w:rsid w:val="00C32999"/>
    <w:rsid w:val="00C344A4"/>
    <w:rsid w:val="00C66209"/>
    <w:rsid w:val="00C825E8"/>
    <w:rsid w:val="00CB1B48"/>
    <w:rsid w:val="00CE35D2"/>
    <w:rsid w:val="00CF731D"/>
    <w:rsid w:val="00D15ECA"/>
    <w:rsid w:val="00D17878"/>
    <w:rsid w:val="00D32638"/>
    <w:rsid w:val="00D409A9"/>
    <w:rsid w:val="00D4314F"/>
    <w:rsid w:val="00D969C4"/>
    <w:rsid w:val="00DC6DB7"/>
    <w:rsid w:val="00E17008"/>
    <w:rsid w:val="00E60668"/>
    <w:rsid w:val="00E801D3"/>
    <w:rsid w:val="00EE7E0F"/>
    <w:rsid w:val="00F01CBA"/>
    <w:rsid w:val="00F12D37"/>
    <w:rsid w:val="00F246C2"/>
    <w:rsid w:val="00F26C9C"/>
    <w:rsid w:val="00F44B04"/>
    <w:rsid w:val="00F47283"/>
    <w:rsid w:val="00F50075"/>
    <w:rsid w:val="00F717AB"/>
    <w:rsid w:val="00F86CC8"/>
    <w:rsid w:val="00F90AF1"/>
    <w:rsid w:val="00FA5305"/>
    <w:rsid w:val="00FB618E"/>
    <w:rsid w:val="00FD5941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3787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787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Heading 2 Cha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Header Cha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Body Text 3 Cha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3CA2-1BD6-4DD6-9D42-7DE9C70A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20</cp:revision>
  <cp:lastPrinted>2016-11-10T11:15:00Z</cp:lastPrinted>
  <dcterms:created xsi:type="dcterms:W3CDTF">2019-02-19T15:16:00Z</dcterms:created>
  <dcterms:modified xsi:type="dcterms:W3CDTF">2021-01-17T19:25:00Z</dcterms:modified>
</cp:coreProperties>
</file>