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DA" w:rsidRPr="00AB0F70" w:rsidRDefault="009E296C" w:rsidP="009E296C">
      <w:pPr>
        <w:pStyle w:val="Antet"/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9E296C">
        <w:rPr>
          <w:rFonts w:ascii="Arial" w:hAnsi="Arial" w:cs="Arial"/>
          <w:color w:val="000000"/>
          <w:sz w:val="18"/>
          <w:szCs w:val="18"/>
          <w:lang w:val="ro-RO"/>
        </w:rPr>
        <w:t>UP.05.D.2.O.04.13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  <w:r w:rsidRPr="00AB0F70">
        <w:rPr>
          <w:rFonts w:ascii="Arial" w:hAnsi="Arial" w:cs="Arial"/>
          <w:b/>
          <w:sz w:val="18"/>
          <w:szCs w:val="18"/>
          <w:lang w:val="ro-RO"/>
        </w:rPr>
        <w:t>FIŞA DISCIPLINEI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Pr="00AB0F70" w:rsidRDefault="00A66048" w:rsidP="00F26C9C">
      <w:pPr>
        <w:pStyle w:val="Antet"/>
        <w:jc w:val="center"/>
        <w:rPr>
          <w:rFonts w:ascii="Arial" w:hAnsi="Arial" w:cs="Arial"/>
          <w:b/>
          <w:i/>
          <w:iCs/>
          <w:sz w:val="18"/>
          <w:szCs w:val="18"/>
          <w:lang w:val="ro-RO"/>
        </w:rPr>
      </w:pPr>
      <w:r w:rsidRPr="00AB0F70">
        <w:rPr>
          <w:rFonts w:ascii="Arial" w:hAnsi="Arial" w:cs="Arial"/>
          <w:b/>
          <w:i/>
          <w:iCs/>
          <w:sz w:val="18"/>
          <w:szCs w:val="18"/>
          <w:lang w:val="ro-RO"/>
        </w:rPr>
        <w:t>Gândire critică</w:t>
      </w:r>
      <w:r w:rsidR="001C475F">
        <w:rPr>
          <w:rFonts w:ascii="Arial" w:hAnsi="Arial" w:cs="Arial"/>
          <w:b/>
          <w:i/>
          <w:iCs/>
          <w:sz w:val="18"/>
          <w:szCs w:val="18"/>
          <w:lang w:val="ro-RO"/>
        </w:rPr>
        <w:t xml:space="preserve">, </w:t>
      </w:r>
      <w:r w:rsidR="001C475F" w:rsidRPr="001C475F">
        <w:rPr>
          <w:rFonts w:ascii="Arial" w:hAnsi="Arial" w:cs="Arial"/>
          <w:b/>
          <w:i/>
          <w:iCs/>
          <w:sz w:val="18"/>
          <w:szCs w:val="18"/>
          <w:lang w:val="ro-RO"/>
        </w:rPr>
        <w:t>anul universitar 20</w:t>
      </w:r>
      <w:r w:rsidR="00D13F5F">
        <w:rPr>
          <w:rFonts w:ascii="Arial" w:hAnsi="Arial" w:cs="Arial"/>
          <w:b/>
          <w:i/>
          <w:iCs/>
          <w:sz w:val="18"/>
          <w:szCs w:val="18"/>
          <w:lang w:val="ro-RO"/>
        </w:rPr>
        <w:t>20</w:t>
      </w:r>
      <w:r w:rsidR="001C475F" w:rsidRPr="001C475F">
        <w:rPr>
          <w:rFonts w:ascii="Arial" w:hAnsi="Arial" w:cs="Arial"/>
          <w:b/>
          <w:i/>
          <w:iCs/>
          <w:sz w:val="18"/>
          <w:szCs w:val="18"/>
          <w:lang w:val="ro-RO"/>
        </w:rPr>
        <w:t>/202</w:t>
      </w:r>
      <w:r w:rsidR="00D13F5F">
        <w:rPr>
          <w:rFonts w:ascii="Arial" w:hAnsi="Arial" w:cs="Arial"/>
          <w:b/>
          <w:i/>
          <w:iCs/>
          <w:sz w:val="18"/>
          <w:szCs w:val="18"/>
          <w:lang w:val="ro-RO"/>
        </w:rPr>
        <w:t>1</w:t>
      </w:r>
    </w:p>
    <w:p w:rsidR="006F26DA" w:rsidRPr="00AB0F70" w:rsidRDefault="006F26DA" w:rsidP="00F26C9C">
      <w:pPr>
        <w:pStyle w:val="Antet"/>
        <w:jc w:val="center"/>
        <w:rPr>
          <w:rFonts w:ascii="Arial" w:hAnsi="Arial" w:cs="Arial"/>
          <w:b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Date despre program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411"/>
        <w:gridCol w:w="5909"/>
      </w:tblGrid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1.1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Instituţia de învăţământ superior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Universitatea din Piteș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ti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1.2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5909" w:type="dxa"/>
          </w:tcPr>
          <w:p w:rsidR="006F26DA" w:rsidRPr="00AB0F70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Educaţiei, Ştiinţe Sociale şi Psihologie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1.3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Psihologie şi Ştiinţe ale Comunicării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1.4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5909" w:type="dxa"/>
          </w:tcPr>
          <w:p w:rsidR="006F26DA" w:rsidRPr="00AB0F70" w:rsidRDefault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Ştiinţe ale comunicării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1.5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5909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Licen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</w:p>
        </w:tc>
      </w:tr>
      <w:tr w:rsidR="006F26DA" w:rsidRPr="00AB0F70" w:rsidTr="00F26C9C">
        <w:trPr>
          <w:jc w:val="center"/>
        </w:trPr>
        <w:tc>
          <w:tcPr>
            <w:tcW w:w="516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1.6</w:t>
            </w:r>
          </w:p>
        </w:tc>
        <w:tc>
          <w:tcPr>
            <w:tcW w:w="3411" w:type="dxa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Programul de studiu / calificarea</w:t>
            </w:r>
          </w:p>
        </w:tc>
        <w:tc>
          <w:tcPr>
            <w:tcW w:w="5909" w:type="dxa"/>
          </w:tcPr>
          <w:p w:rsidR="006F26DA" w:rsidRPr="00AB0F70" w:rsidRDefault="00817666" w:rsidP="0081766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Jurnalism 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Date despre disciplină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5"/>
        <w:gridCol w:w="426"/>
        <w:gridCol w:w="397"/>
        <w:gridCol w:w="962"/>
        <w:gridCol w:w="364"/>
        <w:gridCol w:w="403"/>
        <w:gridCol w:w="1479"/>
        <w:gridCol w:w="909"/>
        <w:gridCol w:w="709"/>
        <w:gridCol w:w="1701"/>
        <w:gridCol w:w="652"/>
      </w:tblGrid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2.1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8B5A09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>Gândire critică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2.2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curs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Lect. univ. dr. </w:t>
            </w:r>
            <w:r w:rsidR="008B5A09">
              <w:rPr>
                <w:rFonts w:ascii="Arial" w:hAnsi="Arial" w:cs="Arial"/>
                <w:sz w:val="18"/>
                <w:szCs w:val="18"/>
                <w:lang w:val="ro-RO"/>
              </w:rPr>
              <w:t>Alexandru Mărchidan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2.3</w:t>
            </w:r>
          </w:p>
        </w:tc>
        <w:tc>
          <w:tcPr>
            <w:tcW w:w="3424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Titularul activităţilor de seminar / laborator</w:t>
            </w:r>
          </w:p>
        </w:tc>
        <w:tc>
          <w:tcPr>
            <w:tcW w:w="5853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Lect. univ. dr.</w:t>
            </w:r>
            <w:r w:rsidR="00817666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Alexandru Mărchidan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Anul de studii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39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2.5</w:t>
            </w:r>
          </w:p>
        </w:tc>
        <w:tc>
          <w:tcPr>
            <w:tcW w:w="9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  <w:r w:rsidR="008111FA" w:rsidRPr="00AB0F70">
              <w:rPr>
                <w:rFonts w:ascii="Arial" w:hAnsi="Arial" w:cs="Arial"/>
                <w:sz w:val="18"/>
                <w:szCs w:val="18"/>
                <w:lang w:val="ro-RO"/>
              </w:rPr>
              <w:t>I</w:t>
            </w:r>
          </w:p>
        </w:tc>
        <w:tc>
          <w:tcPr>
            <w:tcW w:w="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2.6</w:t>
            </w:r>
          </w:p>
        </w:tc>
        <w:tc>
          <w:tcPr>
            <w:tcW w:w="147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9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375D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</w:t>
            </w:r>
          </w:p>
        </w:tc>
        <w:tc>
          <w:tcPr>
            <w:tcW w:w="70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2.7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Regimul disciplinei</w:t>
            </w:r>
          </w:p>
        </w:tc>
        <w:tc>
          <w:tcPr>
            <w:tcW w:w="6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375D4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Timpul total estimat</w:t>
      </w:r>
    </w:p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8"/>
        <w:gridCol w:w="32"/>
        <w:gridCol w:w="2695"/>
        <w:gridCol w:w="706"/>
        <w:gridCol w:w="565"/>
        <w:gridCol w:w="554"/>
        <w:gridCol w:w="846"/>
        <w:gridCol w:w="704"/>
        <w:gridCol w:w="563"/>
        <w:gridCol w:w="1688"/>
        <w:gridCol w:w="643"/>
      </w:tblGrid>
      <w:tr w:rsidR="006F26DA" w:rsidRPr="00AB0F70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3.1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Număr de ore pe saptămână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A6604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3.2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A6604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297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3.3</w:t>
            </w:r>
          </w:p>
        </w:tc>
        <w:tc>
          <w:tcPr>
            <w:tcW w:w="890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A1EDA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</w:tr>
      <w:tr w:rsidR="006F26DA" w:rsidRPr="00AB0F70" w:rsidTr="00F26C9C">
        <w:trPr>
          <w:jc w:val="center"/>
        </w:trPr>
        <w:tc>
          <w:tcPr>
            <w:tcW w:w="257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3.4</w:t>
            </w:r>
          </w:p>
        </w:tc>
        <w:tc>
          <w:tcPr>
            <w:tcW w:w="14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Total ore din planul de înv.</w:t>
            </w:r>
          </w:p>
        </w:tc>
        <w:tc>
          <w:tcPr>
            <w:tcW w:w="372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A6604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28</w:t>
            </w:r>
          </w:p>
        </w:tc>
        <w:tc>
          <w:tcPr>
            <w:tcW w:w="298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3.5</w:t>
            </w:r>
          </w:p>
        </w:tc>
        <w:tc>
          <w:tcPr>
            <w:tcW w:w="738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din care curs</w:t>
            </w:r>
          </w:p>
        </w:tc>
        <w:tc>
          <w:tcPr>
            <w:tcW w:w="3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F26DA" w:rsidRPr="00AB0F70" w:rsidRDefault="00A66048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  <w:tc>
          <w:tcPr>
            <w:tcW w:w="297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3.6</w:t>
            </w:r>
          </w:p>
        </w:tc>
        <w:tc>
          <w:tcPr>
            <w:tcW w:w="890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A1EDA">
              <w:rPr>
                <w:rFonts w:ascii="Arial" w:hAnsi="Arial" w:cs="Arial"/>
                <w:b/>
                <w:sz w:val="18"/>
                <w:szCs w:val="18"/>
                <w:lang w:val="ro-RO"/>
              </w:rPr>
              <w:t>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/ L / P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14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Distribuţia fondului de timp alocat studiului individual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ore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Studiu după manual, suport de curs, bibliografie şi notiţe</w:t>
            </w:r>
          </w:p>
        </w:tc>
        <w:tc>
          <w:tcPr>
            <w:tcW w:w="339" w:type="pct"/>
          </w:tcPr>
          <w:p w:rsidR="006F26DA" w:rsidRPr="00AB0F70" w:rsidRDefault="00F5007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339" w:type="pct"/>
          </w:tcPr>
          <w:p w:rsidR="006F26DA" w:rsidRPr="00AB0F70" w:rsidRDefault="00F5007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Pregătire seminarii/laboratoare, teme, referate, portofolii, eseuri</w:t>
            </w:r>
          </w:p>
        </w:tc>
        <w:tc>
          <w:tcPr>
            <w:tcW w:w="339" w:type="pct"/>
          </w:tcPr>
          <w:p w:rsidR="006F26DA" w:rsidRPr="00AB0F70" w:rsidRDefault="00F5007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Tutorat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Examinări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jc w:val="center"/>
        </w:trPr>
        <w:tc>
          <w:tcPr>
            <w:tcW w:w="4661" w:type="pct"/>
            <w:gridSpan w:val="10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Alte activităţi .....</w:t>
            </w:r>
          </w:p>
        </w:tc>
        <w:tc>
          <w:tcPr>
            <w:tcW w:w="339" w:type="pct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3.7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Total ore studiu individual</w:t>
            </w:r>
          </w:p>
        </w:tc>
        <w:tc>
          <w:tcPr>
            <w:tcW w:w="590" w:type="pct"/>
            <w:gridSpan w:val="2"/>
          </w:tcPr>
          <w:p w:rsidR="006F26DA" w:rsidRPr="00AB0F70" w:rsidRDefault="00F50075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72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3.8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Total ore pe semestru</w:t>
            </w:r>
          </w:p>
        </w:tc>
        <w:tc>
          <w:tcPr>
            <w:tcW w:w="590" w:type="pct"/>
            <w:gridSpan w:val="2"/>
          </w:tcPr>
          <w:p w:rsidR="006F26DA" w:rsidRPr="00AB0F70" w:rsidRDefault="00F500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100</w:t>
            </w:r>
          </w:p>
        </w:tc>
      </w:tr>
      <w:tr w:rsidR="006F26DA" w:rsidRPr="00AB0F70" w:rsidTr="00F26C9C">
        <w:trPr>
          <w:gridAfter w:val="5"/>
          <w:wAfter w:w="2343" w:type="pct"/>
          <w:jc w:val="center"/>
        </w:trPr>
        <w:tc>
          <w:tcPr>
            <w:tcW w:w="274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3.9</w:t>
            </w:r>
          </w:p>
        </w:tc>
        <w:tc>
          <w:tcPr>
            <w:tcW w:w="1793" w:type="pct"/>
            <w:gridSpan w:val="2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Număr de credite</w:t>
            </w:r>
          </w:p>
        </w:tc>
        <w:tc>
          <w:tcPr>
            <w:tcW w:w="590" w:type="pct"/>
            <w:gridSpan w:val="2"/>
          </w:tcPr>
          <w:p w:rsidR="006F26DA" w:rsidRPr="00AB0F70" w:rsidRDefault="000C3F3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4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Precondiţii (acolo unde este cazul)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370"/>
        <w:gridCol w:w="6870"/>
      </w:tblGrid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4.1</w:t>
            </w:r>
          </w:p>
        </w:tc>
        <w:tc>
          <w:tcPr>
            <w:tcW w:w="2370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curriculum</w:t>
            </w:r>
          </w:p>
        </w:tc>
        <w:tc>
          <w:tcPr>
            <w:tcW w:w="6870" w:type="dxa"/>
            <w:vAlign w:val="center"/>
          </w:tcPr>
          <w:p w:rsidR="006F26DA" w:rsidRPr="00AB0F70" w:rsidRDefault="00375D4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>Elemente de logică</w:t>
            </w:r>
            <w:r w:rsidR="006F26DA" w:rsidRPr="00AB0F70"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  <w:t xml:space="preserve"> (studiate la liceu)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4.2</w:t>
            </w:r>
          </w:p>
        </w:tc>
        <w:tc>
          <w:tcPr>
            <w:tcW w:w="2370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competenţe</w:t>
            </w:r>
          </w:p>
        </w:tc>
        <w:tc>
          <w:tcPr>
            <w:tcW w:w="6870" w:type="dxa"/>
            <w:vAlign w:val="center"/>
          </w:tcPr>
          <w:p w:rsidR="006F26DA" w:rsidRPr="00AB0F70" w:rsidRDefault="006F26DA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Capacitã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375D4E" w:rsidRPr="00AB0F70">
              <w:rPr>
                <w:rFonts w:ascii="Arial" w:hAnsi="Arial" w:cs="Arial"/>
                <w:sz w:val="18"/>
                <w:szCs w:val="18"/>
                <w:lang w:val="ro-RO"/>
              </w:rPr>
              <w:t>i de analiză, sinteză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, gândire divergentã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Condiţii (acolo unde este cazul)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39"/>
        <w:gridCol w:w="6574"/>
      </w:tblGrid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5.1</w:t>
            </w:r>
          </w:p>
        </w:tc>
        <w:tc>
          <w:tcPr>
            <w:tcW w:w="2639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desfăşurare a cursului</w:t>
            </w:r>
          </w:p>
        </w:tc>
        <w:tc>
          <w:tcPr>
            <w:tcW w:w="6574" w:type="dxa"/>
            <w:vAlign w:val="center"/>
          </w:tcPr>
          <w:p w:rsidR="006F26DA" w:rsidRPr="00AB0F70" w:rsidRDefault="00375D4E" w:rsidP="00231CE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dotare a sălii de curs cu tablă</w:t>
            </w:r>
          </w:p>
        </w:tc>
      </w:tr>
      <w:tr w:rsidR="006F26DA" w:rsidRPr="00AB0F70" w:rsidTr="00F26C9C">
        <w:trPr>
          <w:jc w:val="center"/>
        </w:trPr>
        <w:tc>
          <w:tcPr>
            <w:tcW w:w="534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5.2</w:t>
            </w:r>
          </w:p>
        </w:tc>
        <w:tc>
          <w:tcPr>
            <w:tcW w:w="2639" w:type="dxa"/>
            <w:vAlign w:val="center"/>
          </w:tcPr>
          <w:p w:rsidR="006F26DA" w:rsidRPr="00AB0F70" w:rsidRDefault="006F26DA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 desfăşurare a laboratorului</w:t>
            </w:r>
          </w:p>
        </w:tc>
        <w:tc>
          <w:tcPr>
            <w:tcW w:w="6574" w:type="dxa"/>
            <w:vAlign w:val="center"/>
          </w:tcPr>
          <w:p w:rsidR="006F26DA" w:rsidRPr="00AB0F70" w:rsidRDefault="006F26DA" w:rsidP="00231CE1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</w:t>
            </w:r>
          </w:p>
        </w:tc>
      </w:tr>
    </w:tbl>
    <w:p w:rsidR="006F26DA" w:rsidRPr="00AB0F70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Competenţe specifice vizate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65"/>
      </w:tblGrid>
      <w:tr w:rsidR="006F26DA" w:rsidRPr="00AB0F70" w:rsidTr="00F26C9C">
        <w:trPr>
          <w:trHeight w:val="1156"/>
          <w:jc w:val="center"/>
        </w:trPr>
        <w:tc>
          <w:tcPr>
            <w:tcW w:w="675" w:type="dxa"/>
            <w:textDirection w:val="btLr"/>
          </w:tcPr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Competenţe profesionale</w:t>
            </w:r>
          </w:p>
        </w:tc>
        <w:tc>
          <w:tcPr>
            <w:tcW w:w="9161" w:type="dxa"/>
          </w:tcPr>
          <w:p w:rsidR="005728C5" w:rsidRPr="005728C5" w:rsidRDefault="005728C5" w:rsidP="005728C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728C5">
              <w:rPr>
                <w:rFonts w:ascii="Arial" w:hAnsi="Arial" w:cs="Arial"/>
                <w:sz w:val="18"/>
                <w:szCs w:val="18"/>
                <w:lang w:val="ro-RO"/>
              </w:rPr>
              <w:t>Competenţe profesionale:</w:t>
            </w:r>
          </w:p>
          <w:p w:rsidR="006F26DA" w:rsidRDefault="005728C5" w:rsidP="005728C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5728C5">
              <w:rPr>
                <w:rFonts w:ascii="Arial" w:hAnsi="Arial" w:cs="Arial"/>
                <w:sz w:val="18"/>
                <w:szCs w:val="18"/>
                <w:lang w:val="ro-RO"/>
              </w:rPr>
              <w:t>C3. Descrierea tipurilor diferite de audienţă / public implicate în comunicare.</w:t>
            </w:r>
          </w:p>
          <w:p w:rsidR="00026D56" w:rsidRPr="00026D56" w:rsidRDefault="00026D56" w:rsidP="00026D5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26D56">
              <w:rPr>
                <w:rFonts w:ascii="Arial" w:hAnsi="Arial" w:cs="Arial"/>
                <w:sz w:val="18"/>
                <w:szCs w:val="18"/>
                <w:lang w:val="ro-RO"/>
              </w:rPr>
              <w:t>C5. Identificarea si utilizarea elementelor specifice de deontologie şi de responsabilitate socială a jurnalistului.</w:t>
            </w:r>
          </w:p>
          <w:p w:rsidR="00026D56" w:rsidRPr="00AB0F70" w:rsidRDefault="00026D56" w:rsidP="00026D56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26D56">
              <w:rPr>
                <w:rFonts w:ascii="Arial" w:hAnsi="Arial" w:cs="Arial"/>
                <w:sz w:val="18"/>
                <w:szCs w:val="18"/>
                <w:lang w:val="ro-RO"/>
              </w:rPr>
              <w:t>C6. Producţia unui conţinut jurnalistic (text, video, audio şi foto) pentru toate tipurile de media.</w:t>
            </w:r>
          </w:p>
        </w:tc>
      </w:tr>
      <w:tr w:rsidR="006F26DA" w:rsidRPr="00AB0F70" w:rsidTr="00F26C9C">
        <w:trPr>
          <w:trHeight w:val="1130"/>
          <w:jc w:val="center"/>
        </w:trPr>
        <w:tc>
          <w:tcPr>
            <w:tcW w:w="675" w:type="dxa"/>
            <w:textDirection w:val="btLr"/>
          </w:tcPr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Competenţe transversale</w:t>
            </w:r>
          </w:p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0D18E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transversale</w:t>
            </w:r>
          </w:p>
        </w:tc>
        <w:tc>
          <w:tcPr>
            <w:tcW w:w="9161" w:type="dxa"/>
            <w:vAlign w:val="center"/>
          </w:tcPr>
          <w:p w:rsidR="000D18E0" w:rsidRPr="00AB0F70" w:rsidRDefault="006F26DA" w:rsidP="000D18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CT1 </w:t>
            </w:r>
            <w:r w:rsidR="000D18E0" w:rsidRPr="00AB0F70">
              <w:rPr>
                <w:rFonts w:ascii="Arial" w:hAnsi="Arial" w:cs="Arial"/>
                <w:sz w:val="18"/>
                <w:szCs w:val="18"/>
                <w:lang w:val="ro-RO"/>
              </w:rPr>
              <w:t>Rezolvarea în mod realist - cu argumentare atât teoretică, cât şi practică - a unor situaţii profesionale uzuale, în vederea soluţionării eficiente şi deontologice a acestora</w:t>
            </w:r>
          </w:p>
          <w:p w:rsidR="006F26DA" w:rsidRPr="00AB0F70" w:rsidRDefault="006F26DA" w:rsidP="000D18E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6F26DA" w:rsidRPr="00AB0F70" w:rsidRDefault="006F26DA" w:rsidP="000D18E0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0D18E0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Obiectivele disciplinei </w:t>
      </w:r>
    </w:p>
    <w:tbl>
      <w:tblPr>
        <w:tblW w:w="992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0"/>
        <w:gridCol w:w="7034"/>
      </w:tblGrid>
      <w:tr w:rsidR="006F26DA" w:rsidRPr="00AB0F70" w:rsidTr="00D4314F">
        <w:trPr>
          <w:trHeight w:val="490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D4314F" w:rsidRDefault="006F26DA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7.1.Obiectivul general al disciplinei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D4314F" w:rsidRDefault="00735300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62D5C">
              <w:rPr>
                <w:rFonts w:ascii="Arial" w:hAnsi="Arial" w:cs="Arial"/>
                <w:sz w:val="18"/>
                <w:szCs w:val="18"/>
                <w:lang w:val="ro-RO"/>
              </w:rPr>
              <w:t xml:space="preserve">Cultivarea </w:t>
            </w:r>
            <w:r w:rsidRPr="00962D5C">
              <w:rPr>
                <w:rFonts w:ascii="Arial" w:hAnsi="Arial" w:cs="Arial"/>
                <w:i/>
                <w:sz w:val="18"/>
                <w:szCs w:val="18"/>
                <w:lang w:val="ro-RO"/>
              </w:rPr>
              <w:t>abilităţilor de gândire critică</w:t>
            </w:r>
          </w:p>
        </w:tc>
      </w:tr>
      <w:tr w:rsidR="006F26DA" w:rsidRPr="00AB0F70" w:rsidTr="009C2B79">
        <w:trPr>
          <w:trHeight w:val="564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AB0F70" w:rsidRDefault="006F26DA" w:rsidP="00D969C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7.2.Obiectivele specifice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F26DA" w:rsidRPr="00AB0F70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A. Obiective cognitive</w:t>
            </w:r>
          </w:p>
          <w:p w:rsidR="006F26DA" w:rsidRPr="00AB0F70" w:rsidRDefault="006F26DA" w:rsidP="000D278A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AB0F70">
              <w:rPr>
                <w:rFonts w:ascii="Arial" w:hAnsi="Arial" w:cs="Arial"/>
                <w:sz w:val="18"/>
                <w:szCs w:val="18"/>
              </w:rPr>
              <w:t>▪ Cunoaşterea</w:t>
            </w:r>
            <w:r w:rsidR="00735300" w:rsidRPr="00AB0F70">
              <w:rPr>
                <w:rFonts w:ascii="Arial" w:hAnsi="Arial" w:cs="Arial"/>
                <w:sz w:val="18"/>
                <w:szCs w:val="18"/>
              </w:rPr>
              <w:t xml:space="preserve"> tehnicilor de argumentare</w:t>
            </w:r>
            <w:r w:rsidR="00EE7E0F" w:rsidRPr="00AB0F7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F26DA" w:rsidRPr="00AB0F70" w:rsidRDefault="000C3F36" w:rsidP="000D278A">
            <w:pPr>
              <w:pStyle w:val="Corptext3"/>
              <w:rPr>
                <w:rFonts w:ascii="Arial" w:hAnsi="Arial" w:cs="Arial"/>
                <w:sz w:val="18"/>
                <w:szCs w:val="18"/>
              </w:rPr>
            </w:pPr>
            <w:r w:rsidRPr="00AB0F70">
              <w:rPr>
                <w:rFonts w:ascii="Arial" w:hAnsi="Arial" w:cs="Arial"/>
                <w:sz w:val="18"/>
                <w:szCs w:val="18"/>
              </w:rPr>
              <w:t xml:space="preserve">▪ </w:t>
            </w:r>
            <w:r w:rsidR="00735300" w:rsidRPr="00AB0F70">
              <w:rPr>
                <w:rFonts w:ascii="Arial" w:hAnsi="Arial" w:cs="Arial"/>
                <w:sz w:val="18"/>
                <w:szCs w:val="18"/>
              </w:rPr>
              <w:t>Cunoaşterea diferenţelor dintre logica formală, retorică şi gândirea critică; a raportului dintre argumentare şi demonstr</w:t>
            </w:r>
            <w:r w:rsidR="00EE7E0F" w:rsidRPr="00AB0F70">
              <w:rPr>
                <w:rFonts w:ascii="Arial" w:hAnsi="Arial" w:cs="Arial"/>
                <w:sz w:val="18"/>
                <w:szCs w:val="18"/>
              </w:rPr>
              <w:t xml:space="preserve">aţie, argumentare şi explicaţie. </w:t>
            </w:r>
          </w:p>
          <w:p w:rsidR="00EE7E0F" w:rsidRPr="00AB0F70" w:rsidRDefault="006F26DA" w:rsidP="00EE7E0F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t>B. Obiective procedurale</w:t>
            </w:r>
          </w:p>
          <w:p w:rsidR="00EE7E0F" w:rsidRPr="00AB0F70" w:rsidRDefault="00EE7E0F" w:rsidP="00EE7E0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Învățarea tipurilor de argumentare şi a metodelor de evaluare a unui raționament.</w:t>
            </w:r>
          </w:p>
          <w:p w:rsidR="00735300" w:rsidRPr="00AB0F70" w:rsidRDefault="00735300" w:rsidP="00EE7E0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Dezvoltarea abilităţii de a identifica şi rezolva erorile de argumentare prezente în diferite domenii.</w:t>
            </w:r>
          </w:p>
          <w:p w:rsidR="00735300" w:rsidRPr="00AB0F70" w:rsidRDefault="00735300" w:rsidP="00EE7E0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Aplicarea cunoştinţelor fundamentale la situaţiile reale de argumentare.</w:t>
            </w:r>
          </w:p>
          <w:p w:rsidR="00735300" w:rsidRPr="00AB0F70" w:rsidRDefault="00735300" w:rsidP="00EE7E0F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Îmbunătăţirea capacităţii de a </w:t>
            </w:r>
            <w:r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formula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ideile, de a le oferi </w:t>
            </w:r>
            <w:r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justificări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, de a le </w:t>
            </w:r>
            <w:r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comunica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altora, de a le </w:t>
            </w:r>
            <w:r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evalua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şi </w:t>
            </w:r>
            <w:r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critica.</w:t>
            </w:r>
          </w:p>
          <w:p w:rsidR="006F26DA" w:rsidRPr="00AB0F70" w:rsidRDefault="006F26DA" w:rsidP="000D278A">
            <w:pPr>
              <w:spacing w:before="100" w:after="100"/>
              <w:ind w:left="360"/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u w:val="single"/>
                <w:shd w:val="clear" w:color="auto" w:fill="FFFFFF"/>
                <w:lang w:val="ro-RO"/>
              </w:rPr>
              <w:lastRenderedPageBreak/>
              <w:t>C. Obiective atitudinale</w:t>
            </w:r>
          </w:p>
          <w:p w:rsidR="006F26DA" w:rsidRPr="00AB0F70" w:rsidRDefault="00735300" w:rsidP="00735300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Formarea unei </w:t>
            </w:r>
            <w:r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atitudini critice şi responsabile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faţă de problemele societăţii actuale.</w:t>
            </w:r>
          </w:p>
          <w:p w:rsidR="00735300" w:rsidRPr="00AB0F70" w:rsidRDefault="00D4314F" w:rsidP="00735300">
            <w:pPr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</w:t>
            </w:r>
            <w:r w:rsidR="00735300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ezvoltarea </w:t>
            </w:r>
            <w:r w:rsidR="00735300" w:rsidRPr="00AB0F70">
              <w:rPr>
                <w:rFonts w:ascii="Arial" w:hAnsi="Arial" w:cs="Arial"/>
                <w:i/>
                <w:sz w:val="18"/>
                <w:szCs w:val="18"/>
                <w:lang w:val="ro-RO"/>
              </w:rPr>
              <w:t>acurateţei şi a eficienţei</w:t>
            </w:r>
            <w:r w:rsidR="00735300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în procesele de cunoaştere şi în luarea deciziilor din viaţa practică.</w:t>
            </w:r>
          </w:p>
        </w:tc>
      </w:tr>
    </w:tbl>
    <w:p w:rsidR="006F26DA" w:rsidRPr="00AB0F70" w:rsidRDefault="006F26DA" w:rsidP="00500AE8">
      <w:pPr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AB0F70" w:rsidRDefault="006F26DA" w:rsidP="00F26C9C">
      <w:pPr>
        <w:ind w:left="720"/>
        <w:rPr>
          <w:rFonts w:ascii="Arial" w:hAnsi="Arial" w:cs="Arial"/>
          <w:b/>
          <w:bCs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>Conţinuturi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28"/>
        <w:gridCol w:w="5386"/>
        <w:gridCol w:w="851"/>
        <w:gridCol w:w="1418"/>
        <w:gridCol w:w="1621"/>
      </w:tblGrid>
      <w:tr w:rsidR="006F26DA" w:rsidRPr="00AB0F70" w:rsidTr="00AB0F70">
        <w:trPr>
          <w:jc w:val="center"/>
        </w:trPr>
        <w:tc>
          <w:tcPr>
            <w:tcW w:w="5875" w:type="dxa"/>
            <w:gridSpan w:val="3"/>
            <w:vAlign w:val="center"/>
          </w:tcPr>
          <w:p w:rsidR="006F26DA" w:rsidRPr="00AB0F70" w:rsidRDefault="006F26DA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 xml:space="preserve">8.1. Curs </w:t>
            </w:r>
          </w:p>
        </w:tc>
        <w:tc>
          <w:tcPr>
            <w:tcW w:w="851" w:type="dxa"/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621" w:type="dxa"/>
          </w:tcPr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6F26DA" w:rsidRPr="00AB0F70" w:rsidRDefault="006F26DA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3941" w:rsidRPr="00AB0F70" w:rsidTr="00AB0F70">
        <w:trPr>
          <w:trHeight w:val="23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Explicaţii introductive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logica formală şi teoria argumentării; 2) teoria argumentării şi retorica.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3941" w:rsidRPr="00AB0F70" w:rsidRDefault="007E3941" w:rsidP="00AB0F70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prelegerea</w:t>
            </w:r>
          </w:p>
          <w:p w:rsidR="007E3941" w:rsidRPr="00AB0F70" w:rsidRDefault="007E3941" w:rsidP="00AB0F70">
            <w:pPr>
              <w:tabs>
                <w:tab w:val="left" w:pos="423"/>
              </w:tabs>
              <w:suppressAutoHyphens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conversa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ia euristicã</w:t>
            </w:r>
          </w:p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dezbaterea</w:t>
            </w:r>
          </w:p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dezbaterea cu oponent imaginar</w:t>
            </w:r>
          </w:p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exerci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iul de reflec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ie, studii de caz</w:t>
            </w:r>
          </w:p>
        </w:tc>
        <w:tc>
          <w:tcPr>
            <w:tcW w:w="1621" w:type="dxa"/>
            <w:vMerge w:val="restart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Scurte prezentãri în power-point pentru stimularea exerci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iului reflectiv</w:t>
            </w:r>
          </w:p>
        </w:tc>
      </w:tr>
      <w:tr w:rsidR="007E3941" w:rsidRPr="00AB0F70" w:rsidTr="00AB0F70">
        <w:trPr>
          <w:trHeight w:val="21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Noţiunea de argumentare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argumentare versus demonstraţie; 2) argumentare versus explicaţie;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21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Argumentarea ca proces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argumentarea ca activitate socială, intelectuală şi verbală; 2) Condiţii definitorii ale activităţii argumentative.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407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Tipuri de argumentare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teze factuale, evaluative şi acţionale; 2) argumentări monologale şi argumentări dialogale; 3) Argumentări pro şi argumentări contra; 4) argumentări libere şi argumentări cu reguli prestabilite.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48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Argumentarea ca produs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indicatorii verbali ai argumentării; 2) identificarea tezei (sau a tezelor) în textul argumentativ; 3) segmentarea textului argumentativ în unităţi logice.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465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Limbajul ca factor în argumentare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polisemie, ambiguitate, vaguitate; 2) apelul la definiţii în argumentări, 3) folosirea resurselor expresive ale limbajului.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30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Configuraţii argumentative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integrarea legăturilor logice directe în structuri de ansamblu; 2) componente subînţelese ale textelor argumentative.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AB0F70">
        <w:trPr>
          <w:trHeight w:val="330"/>
          <w:jc w:val="center"/>
        </w:trPr>
        <w:tc>
          <w:tcPr>
            <w:tcW w:w="461" w:type="dxa"/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5414" w:type="dxa"/>
            <w:gridSpan w:val="2"/>
          </w:tcPr>
          <w:p w:rsidR="007E3941" w:rsidRPr="00AB0F70" w:rsidRDefault="007E3941" w:rsidP="00AB0F70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Evaluarea</w:t>
            </w:r>
            <w:r w:rsidR="007A2B9D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 </w:t>
            </w: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argumentărilor. Factori de care depinde calitatea argumentărilor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acceptabilitatea punctelor de pornire; 2) acceptabilitatea legăturilor logice dintre premise şi concluzii; 3) necircularitatea; 4) cerinţe dialectice.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B0F70" w:rsidRPr="00AB0F70" w:rsidTr="00F26C9C">
        <w:trPr>
          <w:trHeight w:val="21"/>
          <w:jc w:val="center"/>
        </w:trPr>
        <w:tc>
          <w:tcPr>
            <w:tcW w:w="9765" w:type="dxa"/>
            <w:gridSpan w:val="6"/>
            <w:vAlign w:val="center"/>
          </w:tcPr>
          <w:p w:rsidR="00AB0F70" w:rsidRPr="00AE6D1C" w:rsidRDefault="00AB0F70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E6D1C">
              <w:rPr>
                <w:rFonts w:ascii="Arial" w:hAnsi="Arial" w:cs="Arial"/>
                <w:sz w:val="18"/>
                <w:szCs w:val="18"/>
                <w:lang w:val="ro-RO"/>
              </w:rPr>
              <w:t>Bibliografie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Eemeren,Frans van, Grootendorst, Rob,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La Nouvelle dialectique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Paris: Éditions Kimé, 1996.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Grootendorst, Rob, Snoeck Henkemans, A. Francisca, Eemeren, Frans van,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Argumentation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: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Analysis, Evaluation, Presentation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. Mahwa, NJ. Publication, 2002. 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Herrick, James A.,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Critical Thinking. The Analysis of Arguments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Scottsdale, Arizona: Gorsuch Scarisbrick, Publishers, 1991.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Marga, Andrei,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Introducere în metodologia şi argumentarea filosofică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. Cluj-Napoca: Editura Dacia, 1992. 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Martens, Ekkehard, Schnädelbach, Herbert,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Filosofie. Curs de bază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Bucureşti: Editura Ştiinţifică, 1999, cap. 4 (pp. 543-563).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Oléron, Pierre,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L’Argumentation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Paris: Presses Universitaires de France, 1996 (prima ediţie, 1993).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Passmore, John,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Philosophical Reasoning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New York: Basic Books, Inc., 1969 (prima ediţie, 1961).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Perelman, Chaïm, Olbrechts-Tyteca, Lucie,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Traité de l’argumentation. La Nouvelle rhétorique.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Bruxelles: Éditions de l’Université de Bruxelles, 1988 (5</w:t>
            </w:r>
            <w:r w:rsidR="00AE6D1C" w:rsidRPr="00AE6D1C">
              <w:rPr>
                <w:rFonts w:ascii="Arial" w:hAnsi="Arial" w:cs="Arial"/>
                <w:sz w:val="18"/>
                <w:szCs w:val="18"/>
                <w:vertAlign w:val="superscript"/>
                <w:lang w:val="ro-RO"/>
              </w:rPr>
              <w:t>e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 edition).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Robrieux, Jean-Jacques,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Éléments de Rhétorique et d’Argumentation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Paris: Dunod, 1993.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Rovenţa-Frumuşani, Daniela,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Introducere în teoria argumentării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Bucureşti: Editura Universităţii Bucureşti, 1994.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Rybacki, Karyn C., Rybacki, Donald J.,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O introducere în arta argumentării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Pledareaşi respingerea argumentelor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Iaşi: Editura Polirom, 2004.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Sălăvăstru, Constantin,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Teoria şi practica argumentării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Iaşi: Editura Polirom, 2003.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Toulmin, Stephen E.,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The Uses of Argument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Cambridge: Cambridge University Press, 2003 (Updated Edition).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Tuţescu, Mariana,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L’Argumentation. Introduction à l’étude du discourse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Bucureşti: Editura Universităţii din Bucureşti, 1998.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Warburton, Nigel,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Cum să gândim corect şi eficient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Bucureşti: Editura Trei, 1999.</w:t>
            </w:r>
          </w:p>
          <w:p w:rsidR="00AB0F70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Weston, Anthony,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A Rulebook for Arguments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Second Edition. Indianapolis / Cambridge: Hackett Publishing Company, 1992.</w:t>
            </w:r>
          </w:p>
          <w:p w:rsidR="00D4314F" w:rsidRPr="00AE6D1C" w:rsidRDefault="00D4314F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Mărchidan, Alexandru, </w:t>
            </w:r>
            <w:r w:rsidRPr="00D4314F">
              <w:rPr>
                <w:rFonts w:ascii="Arial" w:hAnsi="Arial" w:cs="Arial"/>
                <w:i/>
                <w:sz w:val="18"/>
                <w:szCs w:val="18"/>
                <w:lang w:val="ro-RO"/>
              </w:rPr>
              <w:t>Note de curs</w:t>
            </w:r>
            <w:r w:rsidR="00C3603D">
              <w:rPr>
                <w:rFonts w:ascii="Arial" w:hAnsi="Arial" w:cs="Arial"/>
                <w:sz w:val="18"/>
                <w:szCs w:val="18"/>
                <w:lang w:val="ro-RO"/>
              </w:rPr>
              <w:t>, 2019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AB0F70" w:rsidRPr="00AB0F70" w:rsidTr="00AB0F70">
        <w:trPr>
          <w:jc w:val="center"/>
        </w:trPr>
        <w:tc>
          <w:tcPr>
            <w:tcW w:w="5875" w:type="dxa"/>
            <w:gridSpan w:val="3"/>
            <w:vAlign w:val="center"/>
          </w:tcPr>
          <w:p w:rsidR="00AB0F70" w:rsidRPr="00AB0F70" w:rsidRDefault="00AB0F70" w:rsidP="00AB0F7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  <w:p w:rsidR="00AB0F70" w:rsidRPr="00AB0F70" w:rsidRDefault="00AB0F70" w:rsidP="00AB0F70">
            <w:pP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8.2. Aplicaţii: Seminar / Laborator / Teme de casă</w:t>
            </w:r>
          </w:p>
        </w:tc>
        <w:tc>
          <w:tcPr>
            <w:tcW w:w="851" w:type="dxa"/>
            <w:vAlign w:val="center"/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Nr. ore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Metode de predare</w:t>
            </w:r>
          </w:p>
        </w:tc>
        <w:tc>
          <w:tcPr>
            <w:tcW w:w="16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Observaţii</w:t>
            </w:r>
          </w:p>
          <w:p w:rsidR="00AB0F70" w:rsidRPr="00AB0F70" w:rsidRDefault="00AB0F70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Resurse folosite</w:t>
            </w:r>
          </w:p>
        </w:tc>
      </w:tr>
      <w:tr w:rsidR="007E3941" w:rsidRPr="00AB0F70" w:rsidTr="00AB0F70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Explicaţii introductive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logica formală şi teoria argumentării; 2) teoria argumentării şi retorica.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C3603D" w:rsidP="00AB0F70">
            <w:pPr>
              <w:ind w:left="18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prezentă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ri referate, dezbatere pe baza unor teme, exerci</w:t>
            </w:r>
            <w:r w:rsidR="007E3941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>ii de reflec</w:t>
            </w:r>
            <w:r w:rsidR="007E3941" w:rsidRPr="00AB0F70">
              <w:rPr>
                <w:rFonts w:ascii="Tahoma" w:hAnsi="Tahoma" w:cs="Tahoma"/>
                <w:sz w:val="18"/>
                <w:szCs w:val="18"/>
                <w:lang w:val="ro-RO"/>
              </w:rPr>
              <w:t>ț</w:t>
            </w:r>
            <w:r w:rsidR="007E3941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ie, </w:t>
            </w:r>
            <w:r w:rsidR="007E3941"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studiul de caz, explicaþie,</w:t>
            </w:r>
          </w:p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problematizare,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lucrul în grup pe documente de </w:t>
            </w:r>
            <w:r w:rsidR="00C3603D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referinț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ã, problematizare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Fi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 de lucru,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albume de artă, plan</w:t>
            </w:r>
            <w:r w:rsidRPr="00AB0F70">
              <w:rPr>
                <w:rFonts w:ascii="Tahoma" w:hAnsi="Tahoma" w:cs="Tahoma"/>
                <w:sz w:val="18"/>
                <w:szCs w:val="18"/>
                <w:lang w:val="ro-RO"/>
              </w:rPr>
              <w:t>ș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e,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retroproiector</w:t>
            </w:r>
          </w:p>
        </w:tc>
      </w:tr>
      <w:tr w:rsidR="007E3941" w:rsidRPr="00AB0F70" w:rsidTr="00AB0F70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rPr>
                <w:rFonts w:ascii="Arial" w:hAnsi="Arial" w:cs="Arial"/>
                <w:bC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Noţiunea de argumentare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argumentare versus demonstraţie; 2) argumentare versus explicaţie;</w:t>
            </w:r>
          </w:p>
        </w:tc>
        <w:tc>
          <w:tcPr>
            <w:tcW w:w="851" w:type="dxa"/>
            <w:vAlign w:val="center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Argumentarea ca proces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argumentarea ca activitate socială, intelectuală şi verbală; 2) Condiţii definitorii ale activităţii argumentative.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Tipuri de argumentare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teze factuale, evaluative şi acţionale; 2) argumentări monologale şi argumentări dialogale; 3) Argumentări pro şi argumentări contra; 4) argumentări libere şi argumentări cu reguli prestabilite.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5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rPr>
                <w:rFonts w:ascii="Arial" w:hAnsi="Arial" w:cs="Arial"/>
                <w:caps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Argumentarea ca produs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indicatorii verbali ai argumentării; 2) identificarea tezei (sau a tezelor) în textul argumentativ; 3) segmentarea textului argumentativ în unităţi logice.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6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Limbajul ca factor în argumentare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polisemie, ambiguitate, vaguitate; 2) apelul la definiţii în argumentări, 3) folosirea resurselor expresive ale limbajului.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Configuraţii argumentative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integrarea legăturilor logice directe în structuri de ansamblu; 2) componente subînţelese ale textelor argumentative.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E3941" w:rsidRPr="00AB0F70" w:rsidTr="00DA4F23">
        <w:trPr>
          <w:jc w:val="center"/>
        </w:trPr>
        <w:tc>
          <w:tcPr>
            <w:tcW w:w="489" w:type="dxa"/>
            <w:gridSpan w:val="2"/>
          </w:tcPr>
          <w:p w:rsidR="007E3941" w:rsidRPr="00AB0F70" w:rsidRDefault="007E3941" w:rsidP="00AB0F70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8</w:t>
            </w:r>
          </w:p>
        </w:tc>
        <w:tc>
          <w:tcPr>
            <w:tcW w:w="5386" w:type="dxa"/>
          </w:tcPr>
          <w:p w:rsidR="007E3941" w:rsidRPr="00AB0F70" w:rsidRDefault="007E3941" w:rsidP="00AB0F70">
            <w:pPr>
              <w:ind w:left="-29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Evaluareaargumentărilor. Factori de care depinde calitatea argumentărilor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: 1) acceptabilitatea punctelor de pornire; 2) acceptabilitatea legăturilor logice dintre premise şi concluzii; 3) necircularitatea; 4) cerinţe dialectice.</w:t>
            </w:r>
          </w:p>
        </w:tc>
        <w:tc>
          <w:tcPr>
            <w:tcW w:w="851" w:type="dxa"/>
          </w:tcPr>
          <w:p w:rsidR="007E3941" w:rsidRPr="00AB0F70" w:rsidRDefault="007E3941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62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7E3941" w:rsidRPr="00AB0F70" w:rsidRDefault="007E3941" w:rsidP="00AB0F7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B0F70" w:rsidRPr="00AB0F70" w:rsidTr="00661AE1">
        <w:trPr>
          <w:jc w:val="center"/>
        </w:trPr>
        <w:tc>
          <w:tcPr>
            <w:tcW w:w="9765" w:type="dxa"/>
            <w:gridSpan w:val="6"/>
            <w:vAlign w:val="center"/>
          </w:tcPr>
          <w:p w:rsidR="00AB0F70" w:rsidRPr="00AB0F70" w:rsidRDefault="00AB0F70" w:rsidP="00AB0F70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Bibliografie orientativã: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Grootendorst, Rob, Snoeck Henkemans, A. Francisca, Eemeren, Frans van,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Argumentation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: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Analysis, Evaluation, Presentation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. Mahwa, NJ. Publication, 2002. 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Herrick, James A.,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Critical Thinking. The Analysis of Arguments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Scottsdale, Arizona: Gorsuch Scarisbrick, Publishers, 1991.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Marga, Andrei,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Introducere în metodologia şi argumentarea filosofică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. Cluj-Napoca: Editura Dacia, 1992. 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Oléron, Pierre,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L’Argumentation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Paris: Presses Universitaires de France, 1996 (prima ediţie, 1993).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Robrieux, Jean-Jacques,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Éléments de Rhétorique et d’Argumentation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Paris: Dunod, 1993.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Rovenţa-Frumuşani, Daniela,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Introducere în teoria argumentării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Bucureşti: Editura Universităţii Bucureşti, 1994.</w:t>
            </w:r>
          </w:p>
          <w:p w:rsidR="00AE6D1C" w:rsidRPr="00AE6D1C" w:rsidRDefault="00962D5C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Rybacki, Karyn C., Rybacki, Donald J.,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O introducere în arta argumentării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>Pledareaşi respingerea argumentelor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Iaşi: Editura Polirom, 2004.</w:t>
            </w:r>
          </w:p>
          <w:p w:rsidR="00AE6D1C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Sălăvăstru, Constantin,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Teoria şi practica argumentării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Iaşi: Editura Polirom, 2003.</w:t>
            </w:r>
          </w:p>
          <w:p w:rsidR="00AB0F70" w:rsidRPr="00AE6D1C" w:rsidRDefault="00802A44" w:rsidP="00962D5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- 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Warburton, Nigel,</w:t>
            </w:r>
            <w:r w:rsidR="00AE6D1C" w:rsidRPr="00AE6D1C">
              <w:rPr>
                <w:rFonts w:ascii="Arial" w:hAnsi="Arial" w:cs="Arial"/>
                <w:i/>
                <w:sz w:val="18"/>
                <w:szCs w:val="18"/>
                <w:lang w:val="ro-RO"/>
              </w:rPr>
              <w:t xml:space="preserve"> Cum să gândim corect şi eficient</w:t>
            </w:r>
            <w:r w:rsidR="00AE6D1C" w:rsidRPr="00AE6D1C">
              <w:rPr>
                <w:rFonts w:ascii="Arial" w:hAnsi="Arial" w:cs="Arial"/>
                <w:sz w:val="18"/>
                <w:szCs w:val="18"/>
                <w:lang w:val="ro-RO"/>
              </w:rPr>
              <w:t>. Bucureşti: Editura Trei, 1999.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Coroborarea conţinuturilor disciplinei cu aşteptările reprezentanţilor comunitaţii epistemice, asociaţiilor profesionale şi angajatori din domeniul aferent programului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6F26DA" w:rsidRPr="00AB0F70" w:rsidTr="00F26C9C">
        <w:trPr>
          <w:jc w:val="center"/>
        </w:trPr>
        <w:tc>
          <w:tcPr>
            <w:tcW w:w="9747" w:type="dxa"/>
          </w:tcPr>
          <w:p w:rsidR="006F26DA" w:rsidRPr="00AB0F70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corectitudinea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 ac</w:t>
            </w:r>
            <w:r w:rsidR="00962D5C">
              <w:rPr>
                <w:rFonts w:ascii="Arial" w:hAnsi="Arial" w:cs="Arial"/>
                <w:sz w:val="18"/>
                <w:szCs w:val="18"/>
                <w:lang w:val="ro-RO"/>
              </w:rPr>
              <w:t>urateț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ea folosirii conceptelor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teoriilor însuș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ite la nivelu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l disciplinei – vor satisface așteptările reprezentanților comunităț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ii;</w:t>
            </w:r>
          </w:p>
          <w:p w:rsidR="006F26DA" w:rsidRPr="00AB0F70" w:rsidRDefault="00AA570D" w:rsidP="00F90AF1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competenþele procedurale și atitudinale ce vor fi achiziț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ionate la nivelul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disciplinei – vor satisfaceașteptărilereprezentanților asociaț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iilor profesion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ale ș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i </w:t>
            </w:r>
            <w:r w:rsidR="003506C7">
              <w:rPr>
                <w:rFonts w:ascii="Arial" w:hAnsi="Arial" w:cs="Arial"/>
                <w:sz w:val="18"/>
                <w:szCs w:val="18"/>
                <w:lang w:val="ro-RO"/>
              </w:rPr>
              <w:t>angajatorilor din domeniu.</w:t>
            </w:r>
          </w:p>
          <w:p w:rsidR="006F26DA" w:rsidRPr="00AB0F70" w:rsidRDefault="006F26DA" w:rsidP="0014369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  <w:lang w:val="ro-RO"/>
        </w:rPr>
      </w:pPr>
      <w:r w:rsidRPr="00AB0F70">
        <w:rPr>
          <w:rFonts w:ascii="Arial" w:hAnsi="Arial" w:cs="Arial"/>
          <w:b/>
          <w:bCs/>
          <w:sz w:val="18"/>
          <w:szCs w:val="18"/>
          <w:lang w:val="ro-RO"/>
        </w:rPr>
        <w:t xml:space="preserve"> Evaluare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6"/>
        <w:gridCol w:w="3403"/>
        <w:gridCol w:w="2978"/>
        <w:gridCol w:w="1448"/>
      </w:tblGrid>
      <w:tr w:rsidR="006F26DA" w:rsidRPr="00AB0F70" w:rsidTr="00B309CC">
        <w:trPr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Tip activitate</w:t>
            </w:r>
          </w:p>
        </w:tc>
        <w:tc>
          <w:tcPr>
            <w:tcW w:w="340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10.1 Criterii de evaluare</w:t>
            </w:r>
          </w:p>
        </w:tc>
        <w:tc>
          <w:tcPr>
            <w:tcW w:w="29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10.2 Metode de evaluare</w:t>
            </w:r>
          </w:p>
        </w:tc>
        <w:tc>
          <w:tcPr>
            <w:tcW w:w="144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 xml:space="preserve">10.3 Pondere </w:t>
            </w:r>
          </w:p>
          <w:p w:rsidR="006F26DA" w:rsidRPr="00AB0F70" w:rsidRDefault="006F26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b/>
                <w:sz w:val="18"/>
                <w:szCs w:val="18"/>
                <w:lang w:val="ro-RO"/>
              </w:rPr>
              <w:t>din nota finală</w:t>
            </w:r>
          </w:p>
        </w:tc>
      </w:tr>
      <w:tr w:rsidR="006F26DA" w:rsidRPr="00AB0F70" w:rsidTr="00D32638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10.4 Curs</w:t>
            </w:r>
          </w:p>
        </w:tc>
        <w:tc>
          <w:tcPr>
            <w:tcW w:w="3403" w:type="dxa"/>
          </w:tcPr>
          <w:p w:rsidR="006F26DA" w:rsidRPr="00AB0F70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corectitudinea şi exhaustivitatea cunoştinţelor; </w:t>
            </w:r>
          </w:p>
          <w:p w:rsidR="006F26DA" w:rsidRPr="00AB0F70" w:rsidRDefault="006F26DA" w:rsidP="002427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6F26DA" w:rsidRPr="00802A44" w:rsidRDefault="006F26DA" w:rsidP="0024274B">
            <w:pPr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</w:tc>
        <w:tc>
          <w:tcPr>
            <w:tcW w:w="2978" w:type="dxa"/>
          </w:tcPr>
          <w:p w:rsidR="006F26DA" w:rsidRPr="00AB0F70" w:rsidRDefault="00A401BA" w:rsidP="00916537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Evaluare finală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B0F70" w:rsidRDefault="006F26DA" w:rsidP="00F90AF1">
            <w:pPr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</w:p>
        </w:tc>
        <w:tc>
          <w:tcPr>
            <w:tcW w:w="1448" w:type="dxa"/>
          </w:tcPr>
          <w:p w:rsidR="006F26DA" w:rsidRPr="00AB0F70" w:rsidRDefault="00A401B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6F26DA" w:rsidRPr="00AB0F70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6F26DA" w:rsidRPr="00AB0F70" w:rsidTr="007A34CF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10.5 Seminar / Laborator / </w:t>
            </w:r>
          </w:p>
          <w:p w:rsidR="006F26DA" w:rsidRPr="00AB0F70" w:rsidRDefault="006F26DA">
            <w:pPr>
              <w:ind w:lef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Tema de casă</w:t>
            </w:r>
          </w:p>
        </w:tc>
        <w:tc>
          <w:tcPr>
            <w:tcW w:w="3403" w:type="dxa"/>
          </w:tcPr>
          <w:p w:rsidR="00D4314F" w:rsidRPr="00AB0F70" w:rsidRDefault="00D4314F" w:rsidP="00D431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coerenţa logică; </w:t>
            </w:r>
          </w:p>
          <w:p w:rsidR="00D4314F" w:rsidRDefault="00D4314F" w:rsidP="00D4314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gradul de asimilare a limbajului de specialitate;</w:t>
            </w:r>
          </w:p>
          <w:p w:rsidR="006F26DA" w:rsidRPr="00AB0F70" w:rsidRDefault="00962D5C" w:rsidP="0024274B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-participarea activă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la seminar.</w:t>
            </w:r>
          </w:p>
        </w:tc>
        <w:tc>
          <w:tcPr>
            <w:tcW w:w="2978" w:type="dxa"/>
          </w:tcPr>
          <w:p w:rsidR="006F26DA" w:rsidRPr="00AB0F70" w:rsidRDefault="006F26DA" w:rsidP="00F90AF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 xml:space="preserve">- Expunerea liberă a studentului; 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color w:val="000000"/>
                <w:sz w:val="18"/>
                <w:szCs w:val="18"/>
                <w:lang w:val="ro-RO"/>
              </w:rPr>
              <w:t>- Chestionare orală</w:t>
            </w:r>
            <w:r w:rsidR="00D4314F">
              <w:rPr>
                <w:rFonts w:ascii="Arial" w:hAnsi="Arial" w:cs="Arial"/>
                <w:sz w:val="18"/>
                <w:szCs w:val="18"/>
                <w:lang w:val="ro-RO"/>
              </w:rPr>
              <w:t xml:space="preserve"> sub formă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 de dialog.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AA570D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-Prezentarea orală a temei de casă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;</w:t>
            </w:r>
          </w:p>
          <w:p w:rsidR="006F26DA" w:rsidRPr="00AB0F70" w:rsidRDefault="006F26DA" w:rsidP="000A227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-Test de verificare în timpul semestrului.</w:t>
            </w:r>
          </w:p>
        </w:tc>
        <w:tc>
          <w:tcPr>
            <w:tcW w:w="1448" w:type="dxa"/>
          </w:tcPr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A401B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0%</w:t>
            </w: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:rsidR="006F26DA" w:rsidRPr="00AB0F70" w:rsidRDefault="006F26DA" w:rsidP="00F90AF1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20%</w:t>
            </w:r>
          </w:p>
        </w:tc>
      </w:tr>
      <w:tr w:rsidR="006F26DA" w:rsidRPr="00AB0F70" w:rsidTr="00B309CC">
        <w:trPr>
          <w:jc w:val="center"/>
        </w:trPr>
        <w:tc>
          <w:tcPr>
            <w:tcW w:w="1876" w:type="dxa"/>
            <w:vAlign w:val="center"/>
          </w:tcPr>
          <w:p w:rsidR="006F26DA" w:rsidRPr="00AB0F70" w:rsidRDefault="006F26DA">
            <w:pPr>
              <w:ind w:left="-57" w:right="-57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10.6 Standard minim de performanţă</w:t>
            </w:r>
          </w:p>
        </w:tc>
        <w:tc>
          <w:tcPr>
            <w:tcW w:w="7829" w:type="dxa"/>
            <w:gridSpan w:val="3"/>
            <w:vAlign w:val="center"/>
          </w:tcPr>
          <w:p w:rsidR="006F26DA" w:rsidRPr="00AB0F70" w:rsidRDefault="00AA570D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1. Comunicarea unor informații 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>utilizând corect limbajul de specialitate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B0F70" w:rsidRDefault="00AA570D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2.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 xml:space="preserve"> Cunoașterea principalelor tehnici de argumentare și a celor mai utilizate sofisme</w:t>
            </w:r>
            <w:r w:rsidR="006F26DA" w:rsidRPr="00AB0F70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  <w:p w:rsidR="006F26DA" w:rsidRPr="00AB0F70" w:rsidRDefault="006F26DA" w:rsidP="00B309CC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3.</w:t>
            </w:r>
            <w:r w:rsidR="00A401BA">
              <w:rPr>
                <w:rFonts w:ascii="Arial" w:hAnsi="Arial" w:cs="Arial"/>
                <w:sz w:val="18"/>
                <w:szCs w:val="18"/>
                <w:lang w:val="ro-RO"/>
              </w:rPr>
              <w:t xml:space="preserve"> Capacitatea de a aplica achiziț</w:t>
            </w:r>
            <w:r w:rsidR="00AA570D" w:rsidRPr="00AB0F70">
              <w:rPr>
                <w:rFonts w:ascii="Arial" w:hAnsi="Arial" w:cs="Arial"/>
                <w:sz w:val="18"/>
                <w:szCs w:val="18"/>
                <w:lang w:val="ro-RO"/>
              </w:rPr>
              <w:t>iile în realizarea temei de casă</w:t>
            </w: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 xml:space="preserve">. </w:t>
            </w:r>
          </w:p>
          <w:p w:rsidR="006F26DA" w:rsidRPr="00AB0F70" w:rsidRDefault="006F26DA" w:rsidP="00B309CC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B0F70">
              <w:rPr>
                <w:rFonts w:ascii="Arial" w:hAnsi="Arial" w:cs="Arial"/>
                <w:sz w:val="18"/>
                <w:szCs w:val="18"/>
                <w:lang w:val="ro-RO"/>
              </w:rPr>
              <w:t>4. Nota 5 la evaluarea finalã.</w:t>
            </w:r>
          </w:p>
        </w:tc>
      </w:tr>
    </w:tbl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</w:p>
    <w:p w:rsidR="00BD0B26" w:rsidRDefault="006F26DA" w:rsidP="00BD0B26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t>Data completării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>Titular de curs,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="00BD0B26">
        <w:rPr>
          <w:rFonts w:ascii="Arial" w:hAnsi="Arial" w:cs="Arial"/>
          <w:sz w:val="18"/>
          <w:szCs w:val="18"/>
          <w:lang w:val="ro-RO"/>
        </w:rPr>
        <w:tab/>
        <w:t>Titular de seminar / laborator</w:t>
      </w:r>
    </w:p>
    <w:p w:rsidR="006F26DA" w:rsidRPr="00AB0F70" w:rsidRDefault="00B54337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2</w:t>
      </w:r>
      <w:r w:rsidR="00BD0B26">
        <w:rPr>
          <w:rFonts w:ascii="Arial" w:hAnsi="Arial" w:cs="Arial"/>
          <w:sz w:val="18"/>
          <w:szCs w:val="18"/>
          <w:lang w:val="ro-RO"/>
        </w:rPr>
        <w:t xml:space="preserve"> septembrie</w:t>
      </w:r>
      <w:r w:rsidR="00386FB8">
        <w:rPr>
          <w:rFonts w:ascii="Arial" w:hAnsi="Arial" w:cs="Arial"/>
          <w:sz w:val="18"/>
          <w:szCs w:val="18"/>
          <w:lang w:val="ro-RO"/>
        </w:rPr>
        <w:t xml:space="preserve"> </w:t>
      </w:r>
      <w:r w:rsidR="00BD0B26">
        <w:rPr>
          <w:rFonts w:ascii="Arial" w:hAnsi="Arial" w:cs="Arial"/>
          <w:sz w:val="18"/>
          <w:szCs w:val="18"/>
          <w:lang w:val="ro-RO"/>
        </w:rPr>
        <w:t>20</w:t>
      </w:r>
      <w:r w:rsidR="00D13F5F">
        <w:rPr>
          <w:rFonts w:ascii="Arial" w:hAnsi="Arial" w:cs="Arial"/>
          <w:sz w:val="18"/>
          <w:szCs w:val="18"/>
          <w:lang w:val="ro-RO"/>
        </w:rPr>
        <w:t>20</w:t>
      </w:r>
      <w:r w:rsidR="00BD0B26">
        <w:rPr>
          <w:rFonts w:ascii="Arial" w:hAnsi="Arial" w:cs="Arial"/>
          <w:sz w:val="18"/>
          <w:szCs w:val="18"/>
          <w:lang w:val="ro-RO"/>
        </w:rPr>
        <w:t xml:space="preserve">  </w:t>
      </w:r>
      <w:r w:rsidR="006F26DA" w:rsidRPr="00BD0B26">
        <w:rPr>
          <w:rFonts w:ascii="Arial" w:hAnsi="Arial" w:cs="Arial"/>
          <w:sz w:val="18"/>
          <w:szCs w:val="18"/>
          <w:lang w:val="ro-RO"/>
        </w:rPr>
        <w:t>Lec</w:t>
      </w:r>
      <w:r w:rsidR="00962D5C" w:rsidRPr="00BD0B26">
        <w:rPr>
          <w:rFonts w:ascii="Arial" w:hAnsi="Arial" w:cs="Arial"/>
          <w:sz w:val="18"/>
          <w:szCs w:val="18"/>
          <w:lang w:val="ro-RO"/>
        </w:rPr>
        <w:t>t. univ. dr. Alexandru Mărchidan</w:t>
      </w:r>
      <w:r w:rsidR="006F26DA" w:rsidRPr="00BD0B26">
        <w:rPr>
          <w:rFonts w:ascii="Arial" w:hAnsi="Arial" w:cs="Arial"/>
          <w:sz w:val="18"/>
          <w:szCs w:val="18"/>
          <w:lang w:val="ro-RO"/>
        </w:rPr>
        <w:tab/>
      </w:r>
      <w:r w:rsidR="00386FB8">
        <w:rPr>
          <w:rFonts w:ascii="Arial" w:hAnsi="Arial" w:cs="Arial"/>
          <w:sz w:val="18"/>
          <w:szCs w:val="18"/>
          <w:lang w:val="ro-RO"/>
        </w:rPr>
        <w:t xml:space="preserve">                        </w:t>
      </w:r>
      <w:r w:rsidR="00AA570D" w:rsidRPr="00BD0B26">
        <w:rPr>
          <w:rFonts w:ascii="Arial" w:hAnsi="Arial" w:cs="Arial"/>
          <w:sz w:val="18"/>
          <w:szCs w:val="18"/>
          <w:lang w:val="ro-RO"/>
        </w:rPr>
        <w:t>Lect univ. dr. Alexandru Mărchidan</w:t>
      </w:r>
      <w:r w:rsidR="0080061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26DA" w:rsidRDefault="00386FB8" w:rsidP="00386FB8">
      <w:pPr>
        <w:tabs>
          <w:tab w:val="left" w:pos="5102"/>
        </w:tabs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</w:t>
      </w:r>
      <w:r w:rsidR="00BD0B26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21665" cy="628015"/>
            <wp:effectExtent l="0" t="0" r="6985" b="635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  <w:lang w:val="ro-RO" w:eastAsia="ro-RO"/>
        </w:rPr>
        <w:tab/>
        <w:t xml:space="preserve">                                                  </w:t>
      </w:r>
      <w:r w:rsidRPr="00386FB8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621665" cy="628015"/>
            <wp:effectExtent l="0" t="0" r="6985" b="635"/>
            <wp:docPr id="15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A44" w:rsidRPr="00AB0F70" w:rsidRDefault="00802A44" w:rsidP="00F26C9C">
      <w:pPr>
        <w:rPr>
          <w:rFonts w:ascii="Arial" w:hAnsi="Arial" w:cs="Arial"/>
          <w:sz w:val="18"/>
          <w:szCs w:val="18"/>
          <w:lang w:val="ro-RO"/>
        </w:rPr>
      </w:pPr>
    </w:p>
    <w:p w:rsidR="006F26DA" w:rsidRPr="00AB0F70" w:rsidRDefault="006F26DA" w:rsidP="00F26C9C">
      <w:pPr>
        <w:rPr>
          <w:rFonts w:ascii="Arial" w:hAnsi="Arial" w:cs="Arial"/>
          <w:sz w:val="18"/>
          <w:szCs w:val="18"/>
          <w:lang w:val="ro-RO"/>
        </w:rPr>
      </w:pPr>
      <w:r w:rsidRPr="00AB0F70">
        <w:rPr>
          <w:rFonts w:ascii="Arial" w:hAnsi="Arial" w:cs="Arial"/>
          <w:sz w:val="18"/>
          <w:szCs w:val="18"/>
          <w:lang w:val="ro-RO"/>
        </w:rPr>
        <w:t>Data aprobării în Consiliul departamentului,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  <w:t xml:space="preserve">Director de departament, </w:t>
      </w:r>
      <w:r w:rsidRPr="00AB0F70">
        <w:rPr>
          <w:rFonts w:ascii="Arial" w:hAnsi="Arial" w:cs="Arial"/>
          <w:sz w:val="18"/>
          <w:szCs w:val="18"/>
          <w:lang w:val="ro-RO"/>
        </w:rPr>
        <w:tab/>
      </w:r>
      <w:r w:rsidRPr="00AB0F70">
        <w:rPr>
          <w:rFonts w:ascii="Arial" w:hAnsi="Arial" w:cs="Arial"/>
          <w:sz w:val="18"/>
          <w:szCs w:val="18"/>
          <w:lang w:val="ro-RO"/>
        </w:rPr>
        <w:tab/>
      </w:r>
    </w:p>
    <w:p w:rsidR="006F26DA" w:rsidRPr="00AB0F70" w:rsidRDefault="00BD0B26" w:rsidP="00F26C9C">
      <w:pPr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>18 septembrie 20</w:t>
      </w:r>
      <w:r w:rsidR="00D13F5F">
        <w:rPr>
          <w:rFonts w:ascii="Arial" w:hAnsi="Arial" w:cs="Arial"/>
          <w:sz w:val="18"/>
          <w:szCs w:val="18"/>
          <w:lang w:val="ro-RO"/>
        </w:rPr>
        <w:t>20</w:t>
      </w:r>
      <w:bookmarkStart w:id="0" w:name="_GoBack"/>
      <w:bookmarkEnd w:id="0"/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6F26DA" w:rsidRPr="00AB0F70">
        <w:rPr>
          <w:rFonts w:ascii="Arial" w:hAnsi="Arial" w:cs="Arial"/>
          <w:sz w:val="18"/>
          <w:szCs w:val="18"/>
          <w:lang w:val="ro-RO"/>
        </w:rPr>
        <w:tab/>
      </w:r>
      <w:r w:rsidR="00AA570D" w:rsidRPr="00AB0F70">
        <w:rPr>
          <w:rFonts w:ascii="Arial" w:hAnsi="Arial" w:cs="Arial"/>
          <w:sz w:val="18"/>
          <w:szCs w:val="18"/>
          <w:lang w:val="ro-RO"/>
        </w:rPr>
        <w:t xml:space="preserve">Conf. univ. dr. Manuela Ciucurel </w:t>
      </w:r>
    </w:p>
    <w:p w:rsidR="006F26DA" w:rsidRPr="00AB0F70" w:rsidRDefault="00800618" w:rsidP="00884132">
      <w:pPr>
        <w:jc w:val="center"/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5478145</wp:posOffset>
            </wp:positionH>
            <wp:positionV relativeFrom="paragraph">
              <wp:posOffset>9210040</wp:posOffset>
            </wp:positionV>
            <wp:extent cx="800100" cy="800100"/>
            <wp:effectExtent l="0" t="0" r="0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5487670</wp:posOffset>
            </wp:positionH>
            <wp:positionV relativeFrom="paragraph">
              <wp:posOffset>9191625</wp:posOffset>
            </wp:positionV>
            <wp:extent cx="800100" cy="800100"/>
            <wp:effectExtent l="0" t="0" r="0" b="0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9236710</wp:posOffset>
            </wp:positionV>
            <wp:extent cx="800100" cy="800100"/>
            <wp:effectExtent l="0" t="0" r="0" b="0"/>
            <wp:wrapNone/>
            <wp:docPr id="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4132">
        <w:rPr>
          <w:rFonts w:ascii="Arial" w:hAnsi="Arial" w:cs="Arial"/>
          <w:noProof/>
          <w:sz w:val="18"/>
          <w:szCs w:val="18"/>
          <w:lang w:val="ro-RO" w:eastAsia="ro-RO"/>
        </w:rPr>
        <w:t xml:space="preserve">                                                                                                  </w:t>
      </w:r>
      <w:r w:rsidR="00D5166F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981710" cy="572770"/>
            <wp:effectExtent l="0" t="0" r="889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F26DA" w:rsidRPr="00AB0F70" w:rsidSect="004F36D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  <w:sz w:val="24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1C54F3"/>
    <w:multiLevelType w:val="hybridMultilevel"/>
    <w:tmpl w:val="6298B860"/>
    <w:lvl w:ilvl="0" w:tplc="54B2AB18">
      <w:start w:val="1"/>
      <w:numFmt w:val="decimalZero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15D063B"/>
    <w:multiLevelType w:val="hybridMultilevel"/>
    <w:tmpl w:val="3AB0C18A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3">
    <w:nsid w:val="04C94A78"/>
    <w:multiLevelType w:val="hybridMultilevel"/>
    <w:tmpl w:val="D690F8B4"/>
    <w:lvl w:ilvl="0" w:tplc="8A58FDE4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8"/>
        </w:tabs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  <w:rPr>
        <w:rFonts w:cs="Times New Roman"/>
      </w:rPr>
    </w:lvl>
  </w:abstractNum>
  <w:abstractNum w:abstractNumId="4">
    <w:nsid w:val="0BFD2BF0"/>
    <w:multiLevelType w:val="multilevel"/>
    <w:tmpl w:val="922E94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482720A"/>
    <w:multiLevelType w:val="hybridMultilevel"/>
    <w:tmpl w:val="7F041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3C7897"/>
    <w:multiLevelType w:val="multilevel"/>
    <w:tmpl w:val="1A5A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3A7C47"/>
    <w:multiLevelType w:val="multilevel"/>
    <w:tmpl w:val="164E3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8">
    <w:nsid w:val="1ED50AC9"/>
    <w:multiLevelType w:val="multilevel"/>
    <w:tmpl w:val="E7A2E1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2677B74"/>
    <w:multiLevelType w:val="multilevel"/>
    <w:tmpl w:val="B69C0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A8142EF"/>
    <w:multiLevelType w:val="hybridMultilevel"/>
    <w:tmpl w:val="0D12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95BCC"/>
    <w:multiLevelType w:val="hybridMultilevel"/>
    <w:tmpl w:val="2CFE5E56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6BC0364"/>
    <w:multiLevelType w:val="hybridMultilevel"/>
    <w:tmpl w:val="861A1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AD6A95"/>
    <w:multiLevelType w:val="multilevel"/>
    <w:tmpl w:val="418E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5922D48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64E5E2B"/>
    <w:multiLevelType w:val="hybridMultilevel"/>
    <w:tmpl w:val="31281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7287DDF"/>
    <w:multiLevelType w:val="hybridMultilevel"/>
    <w:tmpl w:val="F93277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9980DE5"/>
    <w:multiLevelType w:val="hybridMultilevel"/>
    <w:tmpl w:val="7988E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227BA"/>
    <w:multiLevelType w:val="hybridMultilevel"/>
    <w:tmpl w:val="93EEACC4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>
    <w:nsid w:val="51881AC1"/>
    <w:multiLevelType w:val="hybridMultilevel"/>
    <w:tmpl w:val="2AA8FB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5D62A94"/>
    <w:multiLevelType w:val="hybridMultilevel"/>
    <w:tmpl w:val="423EB424"/>
    <w:lvl w:ilvl="0" w:tplc="EBEC7D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660628D"/>
    <w:multiLevelType w:val="multilevel"/>
    <w:tmpl w:val="FD8C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CF30E52"/>
    <w:multiLevelType w:val="hybridMultilevel"/>
    <w:tmpl w:val="0040F6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793801"/>
    <w:multiLevelType w:val="multilevel"/>
    <w:tmpl w:val="A5B0B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F9A581A"/>
    <w:multiLevelType w:val="hybridMultilevel"/>
    <w:tmpl w:val="32D6AF02"/>
    <w:lvl w:ilvl="0" w:tplc="0409000F">
      <w:start w:val="1"/>
      <w:numFmt w:val="decimal"/>
      <w:lvlText w:val="%1."/>
      <w:lvlJc w:val="left"/>
      <w:pPr>
        <w:ind w:left="36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5">
    <w:nsid w:val="60EF757D"/>
    <w:multiLevelType w:val="hybridMultilevel"/>
    <w:tmpl w:val="35A43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3E65E2"/>
    <w:multiLevelType w:val="hybridMultilevel"/>
    <w:tmpl w:val="7E04EC20"/>
    <w:lvl w:ilvl="0" w:tplc="97AAD83E">
      <w:start w:val="1"/>
      <w:numFmt w:val="decimal"/>
      <w:lvlText w:val="%1."/>
      <w:lvlJc w:val="left"/>
      <w:pPr>
        <w:ind w:left="3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  <w:rPr>
        <w:rFonts w:cs="Times New Roman"/>
      </w:rPr>
    </w:lvl>
  </w:abstractNum>
  <w:abstractNum w:abstractNumId="27">
    <w:nsid w:val="6B1F5175"/>
    <w:multiLevelType w:val="multilevel"/>
    <w:tmpl w:val="88964D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6FD92497"/>
    <w:multiLevelType w:val="hybridMultilevel"/>
    <w:tmpl w:val="CBF63808"/>
    <w:lvl w:ilvl="0" w:tplc="D9924226">
      <w:start w:val="1"/>
      <w:numFmt w:val="bullet"/>
      <w:lvlText w:val=""/>
      <w:lvlJc w:val="left"/>
      <w:pPr>
        <w:tabs>
          <w:tab w:val="num" w:pos="527"/>
        </w:tabs>
        <w:ind w:left="527" w:hanging="360"/>
      </w:pPr>
      <w:rPr>
        <w:rFonts w:ascii="Symbol" w:hAnsi="Symbol" w:hint="default"/>
        <w:color w:val="auto"/>
        <w:sz w:val="16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39C78B0"/>
    <w:multiLevelType w:val="multilevel"/>
    <w:tmpl w:val="AD1CA6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4E67450"/>
    <w:multiLevelType w:val="hybridMultilevel"/>
    <w:tmpl w:val="CAE8B612"/>
    <w:lvl w:ilvl="0" w:tplc="513CC108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9C12F53"/>
    <w:multiLevelType w:val="hybridMultilevel"/>
    <w:tmpl w:val="A06005F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E4021AB"/>
    <w:multiLevelType w:val="hybridMultilevel"/>
    <w:tmpl w:val="0A025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5"/>
  </w:num>
  <w:num w:numId="8">
    <w:abstractNumId w:val="32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  <w:num w:numId="13">
    <w:abstractNumId w:val="27"/>
  </w:num>
  <w:num w:numId="14">
    <w:abstractNumId w:val="29"/>
  </w:num>
  <w:num w:numId="15">
    <w:abstractNumId w:val="12"/>
  </w:num>
  <w:num w:numId="16">
    <w:abstractNumId w:val="8"/>
  </w:num>
  <w:num w:numId="17">
    <w:abstractNumId w:val="15"/>
  </w:num>
  <w:num w:numId="18">
    <w:abstractNumId w:val="31"/>
  </w:num>
  <w:num w:numId="19">
    <w:abstractNumId w:val="24"/>
  </w:num>
  <w:num w:numId="20">
    <w:abstractNumId w:val="3"/>
  </w:num>
  <w:num w:numId="21">
    <w:abstractNumId w:val="16"/>
  </w:num>
  <w:num w:numId="22">
    <w:abstractNumId w:val="26"/>
  </w:num>
  <w:num w:numId="23">
    <w:abstractNumId w:val="11"/>
  </w:num>
  <w:num w:numId="24">
    <w:abstractNumId w:val="28"/>
  </w:num>
  <w:num w:numId="25">
    <w:abstractNumId w:val="19"/>
  </w:num>
  <w:num w:numId="26">
    <w:abstractNumId w:val="22"/>
  </w:num>
  <w:num w:numId="27">
    <w:abstractNumId w:val="25"/>
  </w:num>
  <w:num w:numId="28">
    <w:abstractNumId w:val="21"/>
  </w:num>
  <w:num w:numId="29">
    <w:abstractNumId w:val="13"/>
  </w:num>
  <w:num w:numId="30">
    <w:abstractNumId w:val="20"/>
  </w:num>
  <w:num w:numId="31">
    <w:abstractNumId w:val="10"/>
  </w:num>
  <w:num w:numId="32">
    <w:abstractNumId w:val="17"/>
  </w:num>
  <w:num w:numId="33">
    <w:abstractNumId w:val="1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26C9C"/>
    <w:rsid w:val="000043D8"/>
    <w:rsid w:val="00026D56"/>
    <w:rsid w:val="0003672F"/>
    <w:rsid w:val="00045AD2"/>
    <w:rsid w:val="0005519C"/>
    <w:rsid w:val="00056B48"/>
    <w:rsid w:val="00097134"/>
    <w:rsid w:val="000A2279"/>
    <w:rsid w:val="000B1E06"/>
    <w:rsid w:val="000C3F36"/>
    <w:rsid w:val="000D18E0"/>
    <w:rsid w:val="000D278A"/>
    <w:rsid w:val="0014369C"/>
    <w:rsid w:val="00156A66"/>
    <w:rsid w:val="00195B29"/>
    <w:rsid w:val="001C475F"/>
    <w:rsid w:val="001F41AE"/>
    <w:rsid w:val="00231CE1"/>
    <w:rsid w:val="0024274B"/>
    <w:rsid w:val="002F0DA1"/>
    <w:rsid w:val="003506C7"/>
    <w:rsid w:val="00375D4E"/>
    <w:rsid w:val="00386FB8"/>
    <w:rsid w:val="003F7FF0"/>
    <w:rsid w:val="004466DE"/>
    <w:rsid w:val="004952C2"/>
    <w:rsid w:val="004F36DA"/>
    <w:rsid w:val="00500AE8"/>
    <w:rsid w:val="00517E9B"/>
    <w:rsid w:val="00550963"/>
    <w:rsid w:val="005537AB"/>
    <w:rsid w:val="005728C5"/>
    <w:rsid w:val="00594197"/>
    <w:rsid w:val="00600650"/>
    <w:rsid w:val="00661754"/>
    <w:rsid w:val="00661AE1"/>
    <w:rsid w:val="00694996"/>
    <w:rsid w:val="006E1D81"/>
    <w:rsid w:val="006F26DA"/>
    <w:rsid w:val="00735300"/>
    <w:rsid w:val="00781D0D"/>
    <w:rsid w:val="007A2B9D"/>
    <w:rsid w:val="007A34CF"/>
    <w:rsid w:val="007A7DD0"/>
    <w:rsid w:val="007B108F"/>
    <w:rsid w:val="007B43D5"/>
    <w:rsid w:val="007D4152"/>
    <w:rsid w:val="007D4DB6"/>
    <w:rsid w:val="007E3941"/>
    <w:rsid w:val="00800618"/>
    <w:rsid w:val="00802A44"/>
    <w:rsid w:val="008111FA"/>
    <w:rsid w:val="0081588D"/>
    <w:rsid w:val="00817666"/>
    <w:rsid w:val="008477D0"/>
    <w:rsid w:val="00884132"/>
    <w:rsid w:val="008B5A09"/>
    <w:rsid w:val="008D1E35"/>
    <w:rsid w:val="008D3B6A"/>
    <w:rsid w:val="00916537"/>
    <w:rsid w:val="00933DDD"/>
    <w:rsid w:val="00936F0B"/>
    <w:rsid w:val="00962D5C"/>
    <w:rsid w:val="00987B41"/>
    <w:rsid w:val="009C2B79"/>
    <w:rsid w:val="009C3D70"/>
    <w:rsid w:val="009E296C"/>
    <w:rsid w:val="009E3386"/>
    <w:rsid w:val="00A02797"/>
    <w:rsid w:val="00A401BA"/>
    <w:rsid w:val="00A503C1"/>
    <w:rsid w:val="00A66048"/>
    <w:rsid w:val="00AA570D"/>
    <w:rsid w:val="00AB0F70"/>
    <w:rsid w:val="00AB53A4"/>
    <w:rsid w:val="00AB57FB"/>
    <w:rsid w:val="00AB6145"/>
    <w:rsid w:val="00AE38FC"/>
    <w:rsid w:val="00AE6D1C"/>
    <w:rsid w:val="00B05A56"/>
    <w:rsid w:val="00B1653E"/>
    <w:rsid w:val="00B2780E"/>
    <w:rsid w:val="00B309CC"/>
    <w:rsid w:val="00B54337"/>
    <w:rsid w:val="00BC627B"/>
    <w:rsid w:val="00BD0B26"/>
    <w:rsid w:val="00BE6254"/>
    <w:rsid w:val="00BF3690"/>
    <w:rsid w:val="00C344A4"/>
    <w:rsid w:val="00C3603D"/>
    <w:rsid w:val="00C66209"/>
    <w:rsid w:val="00C825E8"/>
    <w:rsid w:val="00CB1B48"/>
    <w:rsid w:val="00CE35D2"/>
    <w:rsid w:val="00CF731D"/>
    <w:rsid w:val="00D13F5F"/>
    <w:rsid w:val="00D17878"/>
    <w:rsid w:val="00D32638"/>
    <w:rsid w:val="00D409A9"/>
    <w:rsid w:val="00D4314F"/>
    <w:rsid w:val="00D5166F"/>
    <w:rsid w:val="00D969C4"/>
    <w:rsid w:val="00DA1EDA"/>
    <w:rsid w:val="00DC6DB7"/>
    <w:rsid w:val="00EE7E0F"/>
    <w:rsid w:val="00F01CBA"/>
    <w:rsid w:val="00F12D37"/>
    <w:rsid w:val="00F26C9C"/>
    <w:rsid w:val="00F44B04"/>
    <w:rsid w:val="00F50075"/>
    <w:rsid w:val="00F65EFE"/>
    <w:rsid w:val="00F717AB"/>
    <w:rsid w:val="00F86CC8"/>
    <w:rsid w:val="00F90AF1"/>
    <w:rsid w:val="00FA5305"/>
    <w:rsid w:val="00FB618E"/>
    <w:rsid w:val="00FD5941"/>
    <w:rsid w:val="00FF6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uiPriority w:val="99"/>
    <w:rsid w:val="00916537"/>
    <w:rPr>
      <w:rFonts w:cs="Times New Roman"/>
    </w:rPr>
  </w:style>
  <w:style w:type="character" w:styleId="Accentuat">
    <w:name w:val="Emphasis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0065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00650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9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9165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uiPriority w:val="99"/>
    <w:locked/>
    <w:rsid w:val="00916537"/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Antet">
    <w:name w:val="header"/>
    <w:basedOn w:val="Normal"/>
    <w:link w:val="AntetCaracter"/>
    <w:uiPriority w:val="99"/>
    <w:semiHidden/>
    <w:rsid w:val="00F26C9C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semiHidden/>
    <w:locked/>
    <w:rsid w:val="00F26C9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-continuturibullets">
    <w:name w:val="Text - continuturi bullets"/>
    <w:basedOn w:val="Normal"/>
    <w:uiPriority w:val="99"/>
    <w:rsid w:val="00661754"/>
    <w:pPr>
      <w:tabs>
        <w:tab w:val="left" w:pos="360"/>
      </w:tabs>
      <w:ind w:left="575" w:hanging="215"/>
      <w:jc w:val="both"/>
    </w:pPr>
    <w:rPr>
      <w:sz w:val="22"/>
      <w:szCs w:val="20"/>
      <w:lang w:val="en-GB" w:eastAsia="zh-CN"/>
    </w:rPr>
  </w:style>
  <w:style w:type="character" w:customStyle="1" w:styleId="grame">
    <w:name w:val="grame"/>
    <w:uiPriority w:val="99"/>
    <w:rsid w:val="00916537"/>
    <w:rPr>
      <w:rFonts w:cs="Times New Roman"/>
    </w:rPr>
  </w:style>
  <w:style w:type="character" w:styleId="Accentuat">
    <w:name w:val="Emphasis"/>
    <w:uiPriority w:val="99"/>
    <w:qFormat/>
    <w:rsid w:val="00916537"/>
    <w:rPr>
      <w:rFonts w:cs="Times New Roman"/>
      <w:i/>
      <w:iCs/>
    </w:rPr>
  </w:style>
  <w:style w:type="paragraph" w:styleId="Listparagraf">
    <w:name w:val="List Paragraph"/>
    <w:basedOn w:val="Normal"/>
    <w:uiPriority w:val="99"/>
    <w:qFormat/>
    <w:rsid w:val="00AE38FC"/>
    <w:pPr>
      <w:ind w:left="720"/>
      <w:contextualSpacing/>
    </w:pPr>
  </w:style>
  <w:style w:type="paragraph" w:styleId="Corptext3">
    <w:name w:val="Body Text 3"/>
    <w:basedOn w:val="Normal"/>
    <w:link w:val="Corptext3Caracter"/>
    <w:uiPriority w:val="99"/>
    <w:rsid w:val="009C2B79"/>
    <w:pPr>
      <w:jc w:val="both"/>
    </w:pPr>
    <w:rPr>
      <w:szCs w:val="20"/>
      <w:lang w:val="ro-RO"/>
    </w:rPr>
  </w:style>
  <w:style w:type="character" w:customStyle="1" w:styleId="Corptext3Caracter">
    <w:name w:val="Corp text 3 Caracter"/>
    <w:link w:val="Corptext3"/>
    <w:uiPriority w:val="99"/>
    <w:locked/>
    <w:rsid w:val="009C2B79"/>
    <w:rPr>
      <w:rFonts w:ascii="Times New Roman" w:hAnsi="Times New Roman" w:cs="Times New Roman"/>
      <w:sz w:val="20"/>
      <w:szCs w:val="20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0065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00650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8DAA8-A4C6-4746-A7B2-A81E69C7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1704</Words>
  <Characters>9715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user_i5</cp:lastModifiedBy>
  <cp:revision>21</cp:revision>
  <cp:lastPrinted>2016-11-10T11:15:00Z</cp:lastPrinted>
  <dcterms:created xsi:type="dcterms:W3CDTF">2019-09-12T08:23:00Z</dcterms:created>
  <dcterms:modified xsi:type="dcterms:W3CDTF">2021-01-17T19:21:00Z</dcterms:modified>
</cp:coreProperties>
</file>