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3" w:rsidRPr="00126FC6" w:rsidRDefault="00D43F13" w:rsidP="00D43F13">
      <w:pPr>
        <w:pStyle w:val="Header"/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126FC6">
        <w:rPr>
          <w:rFonts w:ascii="Arial" w:hAnsi="Arial" w:cs="Arial"/>
          <w:b/>
          <w:sz w:val="18"/>
          <w:szCs w:val="18"/>
          <w:lang w:val="de-DE"/>
        </w:rPr>
        <w:t>FIŞA DISCIPLINEI</w:t>
      </w:r>
    </w:p>
    <w:p w:rsidR="00D43F13" w:rsidRPr="00126FC6" w:rsidRDefault="00D43F13" w:rsidP="00D43F13">
      <w:pPr>
        <w:pStyle w:val="Header"/>
        <w:jc w:val="center"/>
        <w:rPr>
          <w:rFonts w:ascii="Arial" w:hAnsi="Arial" w:cs="Arial"/>
          <w:b/>
          <w:i/>
          <w:iCs/>
          <w:sz w:val="18"/>
          <w:szCs w:val="18"/>
          <w:lang w:val="de-DE"/>
        </w:rPr>
      </w:pPr>
      <w:r w:rsidRPr="00126FC6">
        <w:rPr>
          <w:rFonts w:ascii="Arial" w:hAnsi="Arial" w:cs="Arial"/>
          <w:b/>
          <w:i/>
          <w:iCs/>
          <w:sz w:val="18"/>
          <w:szCs w:val="18"/>
          <w:lang w:val="de-DE"/>
        </w:rPr>
        <w:t>2016-2017</w:t>
      </w:r>
    </w:p>
    <w:p w:rsidR="00D43F13" w:rsidRPr="00126FC6" w:rsidRDefault="00D43F13" w:rsidP="00D43F1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126FC6">
        <w:rPr>
          <w:rFonts w:ascii="Arial" w:hAnsi="Arial" w:cs="Arial"/>
          <w:b/>
          <w:bCs/>
          <w:sz w:val="18"/>
          <w:szCs w:val="18"/>
        </w:rPr>
        <w:t>Date despre program</w:t>
      </w:r>
    </w:p>
    <w:tbl>
      <w:tblPr>
        <w:tblW w:w="0" w:type="auto"/>
        <w:tblInd w:w="108" w:type="dxa"/>
        <w:tblLayout w:type="fixed"/>
        <w:tblLook w:val="0000"/>
      </w:tblPr>
      <w:tblGrid>
        <w:gridCol w:w="516"/>
        <w:gridCol w:w="3526"/>
        <w:gridCol w:w="5804"/>
      </w:tblGrid>
      <w:tr w:rsidR="00D43F13" w:rsidRPr="00126FC6" w:rsidTr="00D4270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Instituţia de învăţământ superior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  <w:lang w:val="it-IT"/>
              </w:rPr>
              <w:t>Universitatea din Piteşti</w:t>
            </w:r>
          </w:p>
        </w:tc>
      </w:tr>
      <w:tr w:rsidR="00D43F13" w:rsidRPr="00126FC6" w:rsidTr="00D4270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Facultatea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</w:rPr>
              <w:t>de Științe ale educației, Științe sociale și Psihologie</w:t>
            </w:r>
          </w:p>
        </w:tc>
      </w:tr>
      <w:tr w:rsidR="00D43F13" w:rsidRPr="00126FC6" w:rsidTr="00D4270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Departamentul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  <w:lang w:val="ro-RO"/>
              </w:rPr>
              <w:t>De Psihologie și Științe ale comunicării</w:t>
            </w:r>
          </w:p>
        </w:tc>
      </w:tr>
      <w:tr w:rsidR="00D43F13" w:rsidRPr="00126FC6" w:rsidTr="00D4270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Domeniul de studii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</w:rPr>
              <w:t>Științe ale comunicării</w:t>
            </w:r>
          </w:p>
        </w:tc>
      </w:tr>
      <w:tr w:rsidR="00D43F13" w:rsidRPr="00126FC6" w:rsidTr="00D4270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Ciclul de studii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</w:rPr>
              <w:t>Licență</w:t>
            </w:r>
          </w:p>
        </w:tc>
      </w:tr>
      <w:tr w:rsidR="00D43F13" w:rsidRPr="00126FC6" w:rsidTr="00D4270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Programul de studii / Calificarea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</w:rPr>
              <w:t>Jurnalism</w:t>
            </w:r>
          </w:p>
        </w:tc>
      </w:tr>
    </w:tbl>
    <w:p w:rsidR="00D43F13" w:rsidRPr="00126FC6" w:rsidRDefault="00D43F13" w:rsidP="00D43F1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126FC6">
        <w:rPr>
          <w:rFonts w:ascii="Arial" w:hAnsi="Arial" w:cs="Arial"/>
          <w:b/>
          <w:bCs/>
          <w:sz w:val="18"/>
          <w:szCs w:val="18"/>
        </w:rPr>
        <w:t>Date despre disciplină</w:t>
      </w:r>
    </w:p>
    <w:tbl>
      <w:tblPr>
        <w:tblW w:w="9821" w:type="dxa"/>
        <w:tblInd w:w="108" w:type="dxa"/>
        <w:tblLayout w:type="fixed"/>
        <w:tblLook w:val="0000"/>
      </w:tblPr>
      <w:tblGrid>
        <w:gridCol w:w="534"/>
        <w:gridCol w:w="1026"/>
        <w:gridCol w:w="567"/>
        <w:gridCol w:w="567"/>
        <w:gridCol w:w="1275"/>
        <w:gridCol w:w="284"/>
        <w:gridCol w:w="425"/>
        <w:gridCol w:w="709"/>
        <w:gridCol w:w="992"/>
        <w:gridCol w:w="370"/>
        <w:gridCol w:w="709"/>
        <w:gridCol w:w="1701"/>
        <w:gridCol w:w="662"/>
      </w:tblGrid>
      <w:tr w:rsidR="00D43F13" w:rsidRPr="00126FC6" w:rsidTr="00D42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Denumirea disciplinei</w:t>
            </w:r>
          </w:p>
        </w:tc>
        <w:tc>
          <w:tcPr>
            <w:tcW w:w="5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B10FB1" w:rsidRDefault="00EE5F78" w:rsidP="00D4270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Introducere in </w:t>
            </w:r>
            <w:r w:rsidR="00B10FB1">
              <w:rPr>
                <w:rFonts w:ascii="Arial" w:hAnsi="Arial" w:cs="Arial"/>
                <w:b/>
                <w:bCs/>
                <w:sz w:val="18"/>
                <w:szCs w:val="18"/>
              </w:rPr>
              <w:t>ştiinţele comunicării</w:t>
            </w:r>
          </w:p>
        </w:tc>
      </w:tr>
      <w:tr w:rsidR="00D43F13" w:rsidRPr="00126FC6" w:rsidTr="00D42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Titularul activităţilor de curs</w:t>
            </w:r>
          </w:p>
        </w:tc>
        <w:tc>
          <w:tcPr>
            <w:tcW w:w="5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EE5F78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Lect.univ.dr. Elena Popescu</w:t>
            </w:r>
          </w:p>
        </w:tc>
      </w:tr>
      <w:tr w:rsidR="00D43F13" w:rsidRPr="00126FC6" w:rsidTr="00D42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Titularul activităţilor de laborator</w:t>
            </w:r>
          </w:p>
        </w:tc>
        <w:tc>
          <w:tcPr>
            <w:tcW w:w="5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eastAsia="Calibri" w:hAnsi="Arial" w:cs="Arial"/>
                <w:sz w:val="18"/>
                <w:szCs w:val="18"/>
              </w:rPr>
              <w:t>Asist.univ.d</w:t>
            </w:r>
            <w:r w:rsidR="00EE5F78">
              <w:rPr>
                <w:rFonts w:ascii="Arial" w:eastAsia="Calibri" w:hAnsi="Arial" w:cs="Arial"/>
                <w:sz w:val="18"/>
                <w:szCs w:val="18"/>
              </w:rPr>
              <w:t>rd. Safta Gabriela</w:t>
            </w:r>
          </w:p>
        </w:tc>
      </w:tr>
      <w:tr w:rsidR="00D43F13" w:rsidRPr="00126FC6" w:rsidTr="00D42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Codul disciplinei</w:t>
            </w:r>
          </w:p>
        </w:tc>
        <w:tc>
          <w:tcPr>
            <w:tcW w:w="5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521204" w:rsidRDefault="00521204" w:rsidP="00D4270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21204">
              <w:rPr>
                <w:rFonts w:ascii="Arial" w:hAnsi="Arial" w:cs="Arial"/>
                <w:b/>
                <w:sz w:val="18"/>
                <w:szCs w:val="18"/>
              </w:rPr>
              <w:t>UP.09.F.1</w:t>
            </w:r>
            <w:r w:rsidR="00D43F13" w:rsidRPr="00521204">
              <w:rPr>
                <w:rFonts w:ascii="Arial" w:hAnsi="Arial" w:cs="Arial"/>
                <w:b/>
                <w:sz w:val="18"/>
                <w:szCs w:val="18"/>
              </w:rPr>
              <w:t>.O.5.</w:t>
            </w:r>
          </w:p>
        </w:tc>
      </w:tr>
      <w:tr w:rsidR="00D43F13" w:rsidRPr="00126FC6" w:rsidTr="00D42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Anul de studii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EE5F78" w:rsidP="00D427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Semestrul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52120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Tipul de evaluare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Regimul disciplinei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521204" w:rsidP="00D427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</w:tbl>
    <w:p w:rsidR="00D43F13" w:rsidRPr="00126FC6" w:rsidRDefault="00D43F13" w:rsidP="00D43F13">
      <w:pPr>
        <w:rPr>
          <w:rFonts w:ascii="Arial" w:hAnsi="Arial" w:cs="Arial"/>
          <w:b/>
          <w:bCs/>
          <w:sz w:val="18"/>
          <w:szCs w:val="18"/>
        </w:rPr>
      </w:pPr>
      <w:r w:rsidRPr="00126FC6">
        <w:rPr>
          <w:rFonts w:ascii="Arial" w:hAnsi="Arial" w:cs="Arial"/>
          <w:sz w:val="18"/>
          <w:szCs w:val="18"/>
        </w:rPr>
        <w:t xml:space="preserve"> </w:t>
      </w:r>
      <w:r w:rsidRPr="00126FC6">
        <w:rPr>
          <w:rFonts w:ascii="Arial" w:hAnsi="Arial" w:cs="Arial"/>
          <w:b/>
          <w:bCs/>
          <w:sz w:val="18"/>
          <w:szCs w:val="18"/>
        </w:rPr>
        <w:t>Timpul total estimat</w:t>
      </w:r>
    </w:p>
    <w:tbl>
      <w:tblPr>
        <w:tblW w:w="0" w:type="auto"/>
        <w:tblInd w:w="108" w:type="dxa"/>
        <w:tblLayout w:type="fixed"/>
        <w:tblLook w:val="0000"/>
      </w:tblPr>
      <w:tblGrid>
        <w:gridCol w:w="506"/>
        <w:gridCol w:w="33"/>
        <w:gridCol w:w="2797"/>
        <w:gridCol w:w="732"/>
        <w:gridCol w:w="587"/>
        <w:gridCol w:w="585"/>
        <w:gridCol w:w="868"/>
        <w:gridCol w:w="730"/>
        <w:gridCol w:w="585"/>
        <w:gridCol w:w="1752"/>
        <w:gridCol w:w="677"/>
      </w:tblGrid>
      <w:tr w:rsidR="00D43F13" w:rsidRPr="00126FC6" w:rsidTr="00D4270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521204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  <w:lang w:val="ro-RO"/>
              </w:rPr>
              <w:t>2</w:t>
            </w:r>
          </w:p>
        </w:tc>
      </w:tr>
      <w:tr w:rsidR="00D43F13" w:rsidRPr="00126FC6" w:rsidTr="00D4270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Total ore din planul de inv.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  <w:lang w:val="ro-RO"/>
              </w:rPr>
              <w:t>56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  <w:lang w:val="ro-RO"/>
              </w:rPr>
              <w:t>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laborator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  <w:lang w:val="ro-RO"/>
              </w:rPr>
              <w:t>28</w:t>
            </w:r>
          </w:p>
        </w:tc>
      </w:tr>
      <w:tr w:rsidR="00D43F13" w:rsidRPr="00126FC6" w:rsidTr="00D42709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Distribuţia fondului de timp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D43F13" w:rsidRPr="00126FC6" w:rsidTr="00D42709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Studiul după manual, suport de curs, bibliografie şi notiţe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</w:tr>
      <w:tr w:rsidR="00D43F13" w:rsidRPr="00126FC6" w:rsidTr="00D42709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</w:tr>
      <w:tr w:rsidR="00D43F13" w:rsidRPr="00126FC6" w:rsidTr="00D42709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</w:tr>
      <w:tr w:rsidR="00D43F13" w:rsidRPr="00126FC6" w:rsidTr="00D42709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</w:tr>
      <w:tr w:rsidR="00D43F13" w:rsidRPr="00126FC6" w:rsidTr="00D42709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9</w:t>
            </w:r>
          </w:p>
        </w:tc>
      </w:tr>
      <w:tr w:rsidR="00D43F13" w:rsidRPr="00126FC6" w:rsidTr="00D42709"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</w:tr>
      <w:tr w:rsidR="00D43F13" w:rsidRPr="00126FC6" w:rsidTr="00D42709">
        <w:tblPrEx>
          <w:tblCellMar>
            <w:left w:w="0" w:type="dxa"/>
            <w:right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69</w:t>
            </w:r>
          </w:p>
        </w:tc>
        <w:tc>
          <w:tcPr>
            <w:tcW w:w="4612" w:type="dxa"/>
            <w:gridSpan w:val="5"/>
            <w:tcBorders>
              <w:lef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D43F13" w:rsidRPr="00126FC6" w:rsidTr="00D42709">
        <w:tblPrEx>
          <w:tblCellMar>
            <w:left w:w="0" w:type="dxa"/>
            <w:right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125</w:t>
            </w:r>
          </w:p>
        </w:tc>
        <w:tc>
          <w:tcPr>
            <w:tcW w:w="4612" w:type="dxa"/>
            <w:gridSpan w:val="5"/>
            <w:tcBorders>
              <w:lef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D43F13" w:rsidRPr="00126FC6" w:rsidTr="00D42709">
        <w:tblPrEx>
          <w:tblCellMar>
            <w:left w:w="0" w:type="dxa"/>
            <w:right w:w="0" w:type="dxa"/>
          </w:tblCellMar>
        </w:tblPrEx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sz w:val="18"/>
                <w:szCs w:val="18"/>
                <w:lang w:val="ro-RO"/>
              </w:rPr>
              <w:t>5</w:t>
            </w:r>
          </w:p>
        </w:tc>
        <w:tc>
          <w:tcPr>
            <w:tcW w:w="4612" w:type="dxa"/>
            <w:gridSpan w:val="5"/>
            <w:tcBorders>
              <w:lef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D43F13" w:rsidRPr="00126FC6" w:rsidRDefault="00D43F13" w:rsidP="00D43F1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6FC6">
        <w:rPr>
          <w:rFonts w:ascii="Arial" w:hAnsi="Arial" w:cs="Arial"/>
          <w:b/>
          <w:bCs/>
          <w:sz w:val="18"/>
          <w:szCs w:val="18"/>
          <w:lang w:val="ro-RO"/>
        </w:rPr>
        <w:t>Precondiţii (acolo unde este cazul)</w:t>
      </w: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2370"/>
        <w:gridCol w:w="6880"/>
      </w:tblGrid>
      <w:tr w:rsidR="00D43F13" w:rsidRPr="00126FC6" w:rsidTr="00D42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D43F13" w:rsidRPr="00126FC6" w:rsidTr="00D42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D43F13" w:rsidRPr="00126FC6" w:rsidRDefault="00D43F13" w:rsidP="00D43F1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6FC6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3118"/>
        <w:gridCol w:w="6105"/>
      </w:tblGrid>
      <w:tr w:rsidR="00D43F13" w:rsidRPr="00126FC6" w:rsidTr="00D42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Dotarea sălii de curs cu videoproiector.</w:t>
            </w:r>
          </w:p>
        </w:tc>
      </w:tr>
      <w:tr w:rsidR="00D43F13" w:rsidRPr="00126FC6" w:rsidTr="00D42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De desfăşurare a seminarului/laboratorului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D43F13" w:rsidRPr="00126FC6" w:rsidRDefault="00D43F13" w:rsidP="00D43F1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6FC6">
        <w:rPr>
          <w:rFonts w:ascii="Arial" w:hAnsi="Arial" w:cs="Arial"/>
          <w:b/>
          <w:bCs/>
          <w:sz w:val="18"/>
          <w:szCs w:val="18"/>
          <w:lang w:val="ro-RO"/>
        </w:rPr>
        <w:t>Competenţe specifice acumulate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063"/>
      </w:tblGrid>
      <w:tr w:rsidR="00D43F13" w:rsidRPr="00126FC6" w:rsidTr="00D42709">
        <w:trPr>
          <w:trHeight w:val="2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26FC6">
              <w:rPr>
                <w:rFonts w:ascii="Arial" w:eastAsia="Calibri" w:hAnsi="Arial" w:cs="Arial"/>
                <w:b/>
                <w:sz w:val="18"/>
                <w:szCs w:val="18"/>
              </w:rPr>
              <w:t>6.1.  Competenţe profesionale</w:t>
            </w:r>
          </w:p>
          <w:p w:rsidR="00D43F13" w:rsidRPr="00126FC6" w:rsidRDefault="00D43F13" w:rsidP="00D427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43F13" w:rsidRPr="00126FC6" w:rsidRDefault="00D43F13" w:rsidP="00D427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43F13" w:rsidRPr="00126FC6" w:rsidRDefault="00D43F13" w:rsidP="00D427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43F13" w:rsidRPr="00126FC6" w:rsidRDefault="00D43F13" w:rsidP="00D427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43F13" w:rsidRPr="00126FC6" w:rsidRDefault="00D43F13" w:rsidP="00D4270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eastAsia="Corbel" w:hAnsi="Arial" w:cs="Arial"/>
                <w:sz w:val="18"/>
                <w:szCs w:val="18"/>
              </w:rPr>
              <w:t xml:space="preserve"> C2. </w:t>
            </w:r>
            <w:r w:rsidRPr="00126FC6">
              <w:rPr>
                <w:rFonts w:ascii="Arial" w:hAnsi="Arial" w:cs="Arial"/>
                <w:sz w:val="18"/>
                <w:szCs w:val="18"/>
              </w:rPr>
              <w:t>Utilizarea noilor tehnologii de informare şi comunicare (NTIC).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FC6">
              <w:rPr>
                <w:rFonts w:ascii="Arial" w:eastAsia="Corbel" w:hAnsi="Arial" w:cs="Arial"/>
                <w:sz w:val="18"/>
                <w:szCs w:val="18"/>
              </w:rPr>
              <w:t xml:space="preserve"> C3. </w:t>
            </w:r>
            <w:r w:rsidRPr="00126FC6">
              <w:rPr>
                <w:rFonts w:ascii="Arial" w:hAnsi="Arial" w:cs="Arial"/>
                <w:color w:val="000000"/>
                <w:sz w:val="18"/>
                <w:szCs w:val="18"/>
              </w:rPr>
              <w:t>Descrierea tipurilor diferite de audienţă /public implicate în comunicare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FC6">
              <w:rPr>
                <w:rFonts w:ascii="Arial" w:hAnsi="Arial" w:cs="Arial"/>
                <w:color w:val="000000"/>
                <w:sz w:val="18"/>
                <w:szCs w:val="18"/>
              </w:rPr>
              <w:t xml:space="preserve"> C4. Managementul informaţiei de presă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 xml:space="preserve"> C6. </w:t>
            </w:r>
            <w:r w:rsidRPr="00126FC6">
              <w:rPr>
                <w:rFonts w:ascii="Arial" w:hAnsi="Arial" w:cs="Arial"/>
                <w:color w:val="000000"/>
                <w:sz w:val="18"/>
                <w:szCs w:val="18"/>
              </w:rPr>
              <w:t>Producţia unui conţinut jurnalistic (text, video, audio şi foto) pentru toate tipurile de media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C2.1. Identificarea şi înţelegerea teoriilor cu privire la gestiunea informaţiilor, comunicarea mediatică, sistemele media, dinamica acestora şi la efectele comunicării mediatice.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C2.2 Identificarea particularităţilor utilizării specializate a diverselor tipuri media în comunicare.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C2.3Utilizarea tehnologiilor adecvate în realizarea şi comunicarea profesionalizată a diverselor produse de informare, cu respectarea dreptului publicului de a fi informat corect.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C2.4 Utilizarea unor criterii şi metode standard de evaluare a calităţii şi limitelor folosirii diverselor tehnologii în cadrul unor acte concrete de informare şi comunicare.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C2.5 Realizarea de portofolii cu privire la dimensiunea mediatică a unui act de informare şi/sau comunicare profesionalizată.</w:t>
            </w:r>
          </w:p>
          <w:p w:rsidR="00D43F13" w:rsidRPr="00126FC6" w:rsidRDefault="00D43F13" w:rsidP="00D42709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C2.6 Întocmirea unui plan de folosire a noilor tehnologii informaţionale şi media pentru un proiect concret de gestiune a informaţiei şi/sau de comunicare profesionalizată.</w:t>
            </w:r>
          </w:p>
        </w:tc>
      </w:tr>
      <w:tr w:rsidR="00D43F13" w:rsidRPr="00126FC6" w:rsidTr="00D42709">
        <w:trPr>
          <w:trHeight w:val="69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26FC6">
              <w:rPr>
                <w:rFonts w:ascii="Arial" w:eastAsia="Calibri" w:hAnsi="Arial" w:cs="Arial"/>
                <w:b/>
                <w:sz w:val="18"/>
                <w:szCs w:val="18"/>
              </w:rPr>
              <w:t>6.2.  Competenţe transversale</w:t>
            </w:r>
          </w:p>
          <w:p w:rsidR="00D43F13" w:rsidRPr="00126FC6" w:rsidRDefault="00D43F13" w:rsidP="00D427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43F13" w:rsidRPr="00126FC6" w:rsidRDefault="00D43F13" w:rsidP="00D427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43F13" w:rsidRPr="00126FC6" w:rsidRDefault="00D43F13" w:rsidP="00D427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43F13" w:rsidRPr="00126FC6" w:rsidRDefault="00D43F13" w:rsidP="00D427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43F13" w:rsidRPr="00126FC6" w:rsidRDefault="00D43F13" w:rsidP="00D4270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eastAsia="Corbel" w:hAnsi="Arial" w:cs="Arial"/>
                <w:sz w:val="18"/>
                <w:szCs w:val="18"/>
              </w:rPr>
              <w:t>CT1.</w:t>
            </w:r>
            <w:r w:rsidRPr="00126FC6">
              <w:rPr>
                <w:rFonts w:ascii="Arial" w:hAnsi="Arial" w:cs="Arial"/>
                <w:sz w:val="18"/>
                <w:szCs w:val="18"/>
              </w:rPr>
              <w:t>Rezolvarea în mod realist - cu argumentare atât teoretică, cât şi practică - a unor situaţii profesionale uzuale, în vederea soluţionării eficiente şi deontologice a acestora.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CT2.Aplicarea tehnicilor de muncă eficientă în echipa multidisciplinară cu îndeplinirea anumitor sarcini pe paliere ierarhice.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CT3.Autoevaluarea nevoii de formare profesională în scopul inserţiei şi a adaptării la cerinţele pieţei muncii.</w:t>
            </w:r>
          </w:p>
        </w:tc>
      </w:tr>
    </w:tbl>
    <w:p w:rsidR="00D43F13" w:rsidRPr="00126FC6" w:rsidRDefault="00D43F13" w:rsidP="00D43F1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6FC6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757" w:type="dxa"/>
        <w:tblInd w:w="108" w:type="dxa"/>
        <w:tblLayout w:type="fixed"/>
        <w:tblLook w:val="0000"/>
      </w:tblPr>
      <w:tblGrid>
        <w:gridCol w:w="1560"/>
        <w:gridCol w:w="8197"/>
      </w:tblGrid>
      <w:tr w:rsidR="00D43F13" w:rsidRPr="00126FC6" w:rsidTr="00D42709">
        <w:trPr>
          <w:trHeight w:val="9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7.1 Obiectivul general al disciplinei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F13" w:rsidRPr="00126FC6" w:rsidRDefault="00B10FB1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Cursul prezintă o paletă largă de concepte legate de comunicarea interpersonală, publică, de masă şi nonverbală. De asemenea punctează principalele teorii, tipologii şi tehnici de comunicare unană. Studenții câștigă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cunoștințe prin intermediul lecturilo</w:t>
            </w:r>
            <w:r w:rsidR="00137ECE">
              <w:rPr>
                <w:rFonts w:ascii="Arial" w:hAnsi="Arial" w:cs="Arial"/>
                <w:sz w:val="18"/>
                <w:szCs w:val="18"/>
                <w:lang w:val="ro-RO"/>
              </w:rPr>
              <w:t>r, al activităților pra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ctice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exerciţii de comunicare, 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>dar și printr-o serie de sarcini de colectare, redact</w:t>
            </w:r>
            <w:r w:rsidR="00137ECE">
              <w:rPr>
                <w:rFonts w:ascii="Arial" w:hAnsi="Arial" w:cs="Arial"/>
                <w:sz w:val="18"/>
                <w:szCs w:val="18"/>
                <w:lang w:val="ro-RO"/>
              </w:rPr>
              <w:t xml:space="preserve">are și publicare a materialelor 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>sc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rise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</w:p>
        </w:tc>
      </w:tr>
      <w:tr w:rsidR="00D43F13" w:rsidRPr="00126FC6" w:rsidTr="00D42709">
        <w:trPr>
          <w:trHeight w:val="131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es-ES"/>
              </w:rPr>
              <w:t>Seminarul vizează familiarizarea studenților cu noțiunile, conceptele și teoriile de bază, de maximă actualitate, din domeniul comunicăr</w:t>
            </w:r>
            <w:r w:rsidR="00137ECE">
              <w:rPr>
                <w:rFonts w:ascii="Arial" w:hAnsi="Arial" w:cs="Arial"/>
                <w:sz w:val="18"/>
                <w:szCs w:val="18"/>
                <w:lang w:val="es-ES"/>
              </w:rPr>
              <w:t>ii interpersonale şi de masă</w:t>
            </w:r>
            <w:r w:rsidRPr="00126FC6">
              <w:rPr>
                <w:rFonts w:ascii="Arial" w:hAnsi="Arial" w:cs="Arial"/>
                <w:sz w:val="18"/>
                <w:szCs w:val="18"/>
                <w:lang w:val="es-ES"/>
              </w:rPr>
              <w:t xml:space="preserve">. Prezentarea principalelor </w:t>
            </w:r>
            <w:r w:rsidR="00137ECE">
              <w:rPr>
                <w:rFonts w:ascii="Arial" w:hAnsi="Arial" w:cs="Arial"/>
                <w:sz w:val="18"/>
                <w:szCs w:val="18"/>
                <w:lang w:val="es-ES"/>
              </w:rPr>
              <w:t>forme de comunicare interumană cu scopul de a îmbunătăţi cunoştinţele studenţilor în acest nou domeniu. Fixarea de cunoştinţe legate de anumite concepte ale comunicării de masă, comunicării în spaţiul public şi un în ultimul rând al comunicării media.</w:t>
            </w:r>
          </w:p>
        </w:tc>
      </w:tr>
      <w:tr w:rsidR="00D43F13" w:rsidRPr="00126FC6" w:rsidTr="00D427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7.2 Obiectivele specifice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Analiz</w:t>
            </w:r>
            <w:r w:rsidR="00137ECE">
              <w:rPr>
                <w:rFonts w:ascii="Arial" w:hAnsi="Arial" w:cs="Arial"/>
                <w:sz w:val="18"/>
                <w:szCs w:val="18"/>
                <w:lang w:val="ro-RO"/>
              </w:rPr>
              <w:t>a evoluției formelor de comunicare</w:t>
            </w: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; 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Explorarea provocărilor și oportunităților</w:t>
            </w:r>
            <w:r w:rsidR="00137ECE">
              <w:rPr>
                <w:rFonts w:ascii="Arial" w:hAnsi="Arial" w:cs="Arial"/>
                <w:sz w:val="18"/>
                <w:szCs w:val="18"/>
                <w:lang w:val="ro-RO"/>
              </w:rPr>
              <w:t xml:space="preserve"> unice ale comunicării interumane</w:t>
            </w: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;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Să ofere exp</w:t>
            </w:r>
            <w:r w:rsidR="00137ECE">
              <w:rPr>
                <w:rFonts w:ascii="Arial" w:hAnsi="Arial" w:cs="Arial"/>
                <w:sz w:val="18"/>
                <w:szCs w:val="18"/>
                <w:lang w:val="ro-RO"/>
              </w:rPr>
              <w:t>eriență în identificarea formelor de comunicare interumană</w:t>
            </w: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;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Să acumuleze </w:t>
            </w:r>
            <w:r w:rsidR="00137ECE">
              <w:rPr>
                <w:rFonts w:ascii="Arial" w:hAnsi="Arial" w:cs="Arial"/>
                <w:sz w:val="18"/>
                <w:szCs w:val="18"/>
                <w:lang w:val="ro-RO"/>
              </w:rPr>
              <w:t>cunoștințele de bază in domeniu conceptelor cu care operează comunicarea</w:t>
            </w: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;</w:t>
            </w:r>
          </w:p>
          <w:p w:rsidR="00D43F13" w:rsidRPr="00126FC6" w:rsidRDefault="00137ECE" w:rsidP="00D4270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Să experimenteze elemente ale comunicării prin exercitii practice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; </w:t>
            </w:r>
          </w:p>
        </w:tc>
      </w:tr>
    </w:tbl>
    <w:p w:rsidR="00D43F13" w:rsidRPr="00126FC6" w:rsidRDefault="00D43F13" w:rsidP="00D43F1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6FC6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75" w:type="dxa"/>
        <w:tblInd w:w="108" w:type="dxa"/>
        <w:tblLayout w:type="fixed"/>
        <w:tblLook w:val="0000"/>
      </w:tblPr>
      <w:tblGrid>
        <w:gridCol w:w="461"/>
        <w:gridCol w:w="5556"/>
        <w:gridCol w:w="1418"/>
        <w:gridCol w:w="2340"/>
      </w:tblGrid>
      <w:tr w:rsidR="00D43F13" w:rsidRPr="00126FC6" w:rsidTr="00D42709"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D43F13" w:rsidRPr="00126FC6" w:rsidRDefault="00D43F13" w:rsidP="00D4270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Definirea conceptului de comunicare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2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>ialogul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6FC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Definitrea Emitatorului, Receptorului si altor elemente din schema comunicării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eastAsia="Corbel" w:hAnsi="Arial" w:cs="Arial"/>
                <w:sz w:val="18"/>
                <w:szCs w:val="18"/>
              </w:rPr>
              <w:t>dezbaterea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6FC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Istoria comunicării 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>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eastAsia="Corbel" w:hAnsi="Arial" w:cs="Arial"/>
                <w:sz w:val="18"/>
                <w:szCs w:val="18"/>
              </w:rPr>
              <w:t>dezbaterea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6FC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Tipologia comunicării 4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eastAsia="Corbel" w:hAnsi="Arial" w:cs="Arial"/>
                <w:sz w:val="18"/>
                <w:szCs w:val="18"/>
              </w:rPr>
              <w:t>dezbaterea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Concepte şi terorii ale comunicării  4 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Demonstrația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Comunicarea politică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 2ore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Demonstrația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Comunicarea nonverbală/gestestuală 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2 ore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eastAsia="Corbel" w:hAnsi="Arial" w:cs="Arial"/>
                <w:sz w:val="18"/>
                <w:szCs w:val="18"/>
              </w:rPr>
              <w:t>dezbaterea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Comunicarea media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  2 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eastAsia="Corbel" w:hAnsi="Arial" w:cs="Arial"/>
                <w:sz w:val="18"/>
                <w:szCs w:val="18"/>
              </w:rPr>
              <w:t>dezbaterea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Teoria glontului magic 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>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Demonstația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6FC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37ECE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Teoria modelării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eastAsia="Corbel" w:hAnsi="Arial" w:cs="Arial"/>
                <w:sz w:val="18"/>
                <w:szCs w:val="18"/>
              </w:rPr>
              <w:t>dezbaterea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6FC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37EC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137ECE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Opinia publică şi mass-media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Demonstația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6FC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37EC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Efecte alec comunicării de masă 2</w:t>
            </w:r>
            <w:r w:rsidR="00D43F13" w:rsidRPr="00126FC6">
              <w:rPr>
                <w:rFonts w:ascii="Arial" w:hAnsi="Arial" w:cs="Arial"/>
                <w:sz w:val="18"/>
                <w:szCs w:val="18"/>
                <w:lang w:val="ro-RO"/>
              </w:rPr>
              <w:t>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Demonstația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43F13" w:rsidRPr="00126FC6" w:rsidTr="00D42709">
        <w:trPr>
          <w:trHeight w:val="23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Default="00521204" w:rsidP="00CF167C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Bibliografie: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Christian Baylon, Philippe Cabin –La communication, Etat des savoirs, Ed. Sciences    Humaines, 1998;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Christian Baylon, Xavier Mignot –Comunicarea, Ed. Universităţii „Alexandru Ioan Cuza”, Iaşi, 2000;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J. J. Cuilenburg, O. Scholten, G. W. Noomen –Ştiinţa comunicării, Humanitas, Bucureşti, 1998;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Mihai Dinu – Comunicarea, Ed. Ştiinţifică, Bucureşti, 1997;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Mihai Dinu –Comunicarea, repere fundamentale, ediţia II, Ed. Algos, Bucureşti, 2000;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Emilian M. Dobrescu –Sociologia comunicării, Ed. Victor, Bucureşti, 1998;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Ioan Drăgan –Paradigme ale comunicării de masă, Ed. Şansa, Bucureşti, 1996;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 xml:space="preserve">                    - Comunicarea; Paradigme si teorii, Ed. RAO, 2008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Jean Lohisse –Les systeme de communication, Armand Colin, Paris, 1998;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Andre de Peretti, Jean-Andre Legrand, Jean Boniface –Tehnici de comunicare, Ed. Polirom, Iaşi, 2000;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Nicki Stanton – Comunicarea, Ed. Societatea de Ştiinţă şi Tehnică, Bucureşti, 1995;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Robert Escarpit –De la sociologia literaturii la teoria comunicării, Ed. Ştiinţifică şi Enciclopedică, Bucureşti, 1980.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Umberto Eco –Tratat de semiotică gemerală, E.Ş.E., Bucureşti, 1982;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Umberto Eco –Lector in fabula, Ed. Univers, Bucureşti, 1991;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Denis McQuail – Comunicarea, Ed. Institutul European, Iaşi, 1999;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Jurgen Habermas – Sfera publică şi transformarea ei structurală, Ed. Univers, Bucureşti, 1998;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Jurgen Habermas – Cunoaştere şi comunicare, traducere de Andrei Marga, Walter Roth, Iosif Wolf, Ed. Politică, Bucureşti, 1983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Armand şi Michelle Mattelart –Istoria teoriilor comunicării, Polirom, Iaşi, 2000,</w:t>
            </w:r>
          </w:p>
          <w:p w:rsidR="00521204" w:rsidRPr="00521204" w:rsidRDefault="00521204" w:rsidP="00CF167C">
            <w:pPr>
              <w:rPr>
                <w:rFonts w:ascii="Arial" w:hAnsi="Arial" w:cs="Arial"/>
                <w:iCs/>
                <w:sz w:val="18"/>
                <w:szCs w:val="18"/>
                <w:lang w:val="ro-RO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Alex Mucchielli –Douze cas et exercices sur la communication, Armand Colin, Paris, 1998;</w:t>
            </w:r>
          </w:p>
          <w:p w:rsidR="00521204" w:rsidRPr="00126FC6" w:rsidRDefault="00521204" w:rsidP="00CF167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21204">
              <w:rPr>
                <w:rFonts w:ascii="Arial" w:hAnsi="Arial" w:cs="Arial"/>
                <w:iCs/>
                <w:sz w:val="18"/>
                <w:szCs w:val="18"/>
                <w:lang w:val="ro-RO"/>
              </w:rPr>
              <w:t>Charles Peirce –Comunicare şi acţiune, Humanitas, Bucureşti, 1990</w:t>
            </w:r>
          </w:p>
        </w:tc>
      </w:tr>
      <w:tr w:rsidR="00D43F13" w:rsidRPr="00126FC6" w:rsidTr="00D42709">
        <w:tc>
          <w:tcPr>
            <w:tcW w:w="6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8.2. Aplicaţii – Seminar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D43F13" w:rsidRPr="00126FC6" w:rsidRDefault="00D43F13" w:rsidP="00D42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Resurse folosite</w:t>
            </w:r>
          </w:p>
        </w:tc>
      </w:tr>
      <w:tr w:rsidR="00D43F13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Definirea conceptului de comunicare </w:t>
            </w:r>
            <w:r w:rsidR="00D43F13" w:rsidRPr="00126FC6">
              <w:rPr>
                <w:rFonts w:ascii="Arial" w:hAnsi="Arial" w:cs="Arial"/>
                <w:sz w:val="18"/>
                <w:szCs w:val="18"/>
              </w:rPr>
              <w:t>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Expunerea </w:t>
            </w:r>
          </w:p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Observația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7831F5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831F5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Emitător, Receptor, Mesaj, Schema comunicării 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Expunerea</w:t>
            </w:r>
          </w:p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Dialogul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F5" w:rsidRPr="00126FC6" w:rsidRDefault="007831F5" w:rsidP="007831F5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831F5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57434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Tipologia comunicării</w:t>
            </w:r>
            <w:r w:rsidRPr="00126FC6">
              <w:rPr>
                <w:rFonts w:ascii="Arial" w:hAnsi="Arial" w:cs="Arial"/>
                <w:sz w:val="18"/>
                <w:szCs w:val="18"/>
              </w:rPr>
              <w:t xml:space="preserve">  2 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Dialogul</w:t>
            </w:r>
          </w:p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Observația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F5" w:rsidRPr="00126FC6" w:rsidRDefault="007831F5" w:rsidP="007831F5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831F5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Comunicarea nonverbală</w:t>
            </w:r>
            <w:r w:rsidRPr="00126FC6">
              <w:rPr>
                <w:rFonts w:ascii="Arial" w:hAnsi="Arial" w:cs="Arial"/>
                <w:sz w:val="18"/>
                <w:szCs w:val="18"/>
              </w:rPr>
              <w:t xml:space="preserve"> 2 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Conversația</w:t>
            </w:r>
          </w:p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Lucrul în grup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F5" w:rsidRPr="00126FC6" w:rsidRDefault="007831F5" w:rsidP="007831F5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831F5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Comunicarea public, opinia publică</w:t>
            </w:r>
            <w:r w:rsidRPr="00126FC6">
              <w:rPr>
                <w:rFonts w:ascii="Arial" w:hAnsi="Arial" w:cs="Arial"/>
                <w:sz w:val="18"/>
                <w:szCs w:val="18"/>
              </w:rPr>
              <w:t xml:space="preserve"> 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Dialogul </w:t>
            </w:r>
          </w:p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Demonstrația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F5" w:rsidRPr="00126FC6" w:rsidRDefault="007831F5" w:rsidP="007831F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831F5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Teorii ale comunicării de masă</w:t>
            </w: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4h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Dialogul lucrare aplicativă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F5" w:rsidRPr="00126FC6" w:rsidRDefault="007831F5" w:rsidP="00583FBE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831F5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Efecte ale comunicării</w:t>
            </w: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 4 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Conversația lucrări practice și aplicative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F5" w:rsidRPr="00126FC6" w:rsidRDefault="007831F5" w:rsidP="00583FBE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831F5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Teoria glonţului magic </w:t>
            </w: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Observația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F5" w:rsidRPr="00126FC6" w:rsidRDefault="007831F5" w:rsidP="00583FBE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831F5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Teoria influenţei selective </w:t>
            </w: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2 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Dezbaterea</w:t>
            </w:r>
          </w:p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Dialogul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F5" w:rsidRPr="00126FC6" w:rsidRDefault="007831F5" w:rsidP="00583FBE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831F5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Teoria influenţei indirecte </w:t>
            </w:r>
            <w:r w:rsidRPr="00126FC6">
              <w:rPr>
                <w:rFonts w:ascii="Arial" w:hAnsi="Arial" w:cs="Arial"/>
                <w:sz w:val="18"/>
                <w:szCs w:val="18"/>
                <w:lang w:val="es-ES"/>
              </w:rPr>
              <w:t>2 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Dialogul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F5" w:rsidRPr="00126FC6" w:rsidRDefault="007831F5" w:rsidP="00583FB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831F5" w:rsidRPr="00126FC6" w:rsidTr="00D42709">
        <w:trPr>
          <w:trHeight w:val="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Teoria spiralei tăcerii</w:t>
            </w: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 xml:space="preserve"> 2h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Expunerea</w:t>
            </w:r>
          </w:p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Observația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F5" w:rsidRPr="00126FC6" w:rsidRDefault="007831F5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831F5" w:rsidRPr="00126FC6" w:rsidTr="00D42709">
        <w:trPr>
          <w:trHeight w:val="23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F5" w:rsidRPr="00CF167C" w:rsidRDefault="007831F5" w:rsidP="00CF167C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b/>
                <w:sz w:val="18"/>
                <w:szCs w:val="18"/>
                <w:lang w:val="ro-RO"/>
              </w:rPr>
              <w:t>BIBLIOGRAFIE: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Mihai Dinu –Comunicarea, repere fundamentale, ediţia II, Ed. Algos, Bucureşti, 2000;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Emilian M. Dobrescu –Sociologia comunicării, Ed. Victor, Bucureşti, 1998;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Jean Lohisse –Les systeme de communication, Armand Colin, Paris, 1998;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Andre de Peretti, Jean-Andre Legrand, Jean Boniface –Tehnici de comunicare, Ed. Polirom, Iaşi, 2000;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Nicki Stanton – Comunicarea, Ed. Societatea de Ştiinţă şi Tehnică, Bucureşti, 1995;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Robert Escarpit –De la sociologia literaturii la teoria comunicării, Ed. Ştiinţifică şi Enciclopedică, Bucureşti, 1980.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Umberto Eco –Tratat de semiotică gemerală, E.Ş.E., Bucureşti, 1982;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Umberto Eco –Lector in fabula, Ed. Univers, Bucureşti, 1991;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Denis McQuail – Comunicarea, Ed. Institutul European, Iaşi, 1999;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Jurgen Habermas – Sfera publică şi transformarea ei structurală, Ed. Univers, Bucureşti, 1998;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Jurgen Habermas – Cunoaştere şi comunicare, traducere de Andrei Marga, Walter Roth, Iosif Wolf, Ed. Politică, Bucureşti, 1983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Armand şi Michelle Mattelart –Istoria teoriilor comunicării, Polirom, Iaşi, 2000,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Alex Mucchielli –Douze cas et exercices sur la communication, Armand Colin, Paris, 1998;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Charles Peirce –Comunicare şi acţiune, Humanitas, Bucureşti, 1990;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Liliana Ionescu Ruxăndroiu –Conversaţia –structuri şi strategii, Ed. Didactică şi Pedagogică, Bucureşti, 1975;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Denis McQuail, Sven Windahl – Modele ale comunicării, Ed. Facultăţii de Comunicare şi Relaţii Publice „David Ogilvy”, Bucureşti, 2001;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-Comunicarea în câmpul social, Ed. Universităţii „Alexandru Ioan Cuza”, Iaşi, 1996;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Roman Jakobson  -Lingvistică şi poetică în Probleme de stilistică, Ed. Ştiinţifică, Bucureşti, 1964;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Vasile Tonoiu – Omul dialogal, Ed. Fundaţiei Culturale Române, Bucureşti, 1995;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Ray Birdwhisteell –Introduction to kinetics, 1952;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Michael Kunczik, Astrid Zipfel –Introducere în ştiinţa publicităţii şi a comunicării, Ed. Presa Universitară Clujeană, Cluj, 1998;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Jean-Claude Abric –Psychologie de la communication, Armand Colin, Paris, 1999;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Jean-Claude Abric –Psihologia comunicării, Ed.Polirom, 2002;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Camelia Beciu – Politica discursivă, Polirom, Iaşi, 2000;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Raymond Boudon –Tratat de sociologie, Humanitas, Bucureşti, 1997;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Ştefan Buzărnescu –Sociologia opiniei publice, Ed. Did. Şi Ped., Bucureşti;</w:t>
            </w:r>
          </w:p>
          <w:p w:rsidR="007831F5" w:rsidRPr="00CF167C" w:rsidRDefault="007831F5" w:rsidP="00CF167C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67C">
              <w:rPr>
                <w:rFonts w:ascii="Arial" w:hAnsi="Arial" w:cs="Arial"/>
                <w:sz w:val="18"/>
                <w:szCs w:val="18"/>
                <w:lang w:val="ro-RO"/>
              </w:rPr>
              <w:t>Bernard Miege –Societatea cucerită de comunicare, Ed. Polirom, Iaşi, 2000;</w:t>
            </w:r>
          </w:p>
        </w:tc>
      </w:tr>
    </w:tbl>
    <w:p w:rsidR="00D43F13" w:rsidRPr="00126FC6" w:rsidRDefault="00D43F13" w:rsidP="00D43F1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6FC6">
        <w:rPr>
          <w:rFonts w:ascii="Arial" w:hAnsi="Arial" w:cs="Arial"/>
          <w:b/>
          <w:bCs/>
          <w:sz w:val="18"/>
          <w:szCs w:val="18"/>
          <w:lang w:val="ro-RO"/>
        </w:rPr>
        <w:t>Coroborarea conţinuturilor disciplinei cu aşteptările reprezentanţilor comunitaţii epistemice, asociaţiilor profesionale şi angajatori din domeniul aferent programului</w:t>
      </w:r>
    </w:p>
    <w:tbl>
      <w:tblPr>
        <w:tblW w:w="0" w:type="auto"/>
        <w:tblInd w:w="108" w:type="dxa"/>
        <w:tblLayout w:type="fixed"/>
        <w:tblLook w:val="0000"/>
      </w:tblPr>
      <w:tblGrid>
        <w:gridCol w:w="9757"/>
      </w:tblGrid>
      <w:tr w:rsidR="00D43F13" w:rsidRPr="00126FC6" w:rsidTr="00D42709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583FBE" w:rsidRDefault="00D43F13" w:rsidP="00583FBE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bCs/>
                <w:sz w:val="18"/>
                <w:szCs w:val="18"/>
                <w:lang w:val="ro-RO"/>
              </w:rPr>
              <w:t>Identificarea nevoii de formare profesionala si realizarea unui plan de dezvoltare în acest sens, prin utilizarea eficienta a surselor si resurselor de comunicare si formare profesionala (internet, baze de date, cursuri online, biblioteci etc).</w:t>
            </w:r>
          </w:p>
        </w:tc>
      </w:tr>
    </w:tbl>
    <w:p w:rsidR="00D43F13" w:rsidRPr="00126FC6" w:rsidRDefault="00D43F13" w:rsidP="00D43F1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6FC6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0" w:type="auto"/>
        <w:tblInd w:w="108" w:type="dxa"/>
        <w:tblLayout w:type="fixed"/>
        <w:tblLook w:val="0000"/>
      </w:tblPr>
      <w:tblGrid>
        <w:gridCol w:w="1167"/>
        <w:gridCol w:w="4252"/>
        <w:gridCol w:w="2423"/>
        <w:gridCol w:w="1870"/>
      </w:tblGrid>
      <w:tr w:rsidR="00D43F13" w:rsidRPr="00126FC6" w:rsidTr="00D42709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Tip activitate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10.1 Criterii de evaluare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10.2 Metode de evaluare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10.3 Pondere din nota finală</w:t>
            </w:r>
          </w:p>
        </w:tc>
      </w:tr>
      <w:tr w:rsidR="00D43F13" w:rsidRPr="00126FC6" w:rsidTr="00D42709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10.4 Curs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Examen scris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D43F13" w:rsidRPr="00126FC6" w:rsidTr="00D42709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10.5 Seminar/ Laborator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Prezența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Activitate de seminar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Evaluări periodice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 xml:space="preserve">Proiect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 xml:space="preserve">Înregistrare prezență 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Evaluarea temelor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 xml:space="preserve">Verificarea cunoștințelor </w:t>
            </w:r>
          </w:p>
          <w:p w:rsidR="00D43F13" w:rsidRPr="00126FC6" w:rsidRDefault="00D43F13" w:rsidP="00D42709">
            <w:pPr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Evaluarea proiectului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10%</w:t>
            </w:r>
          </w:p>
          <w:p w:rsidR="00D43F13" w:rsidRPr="00126FC6" w:rsidRDefault="00D43F13" w:rsidP="00D42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10%</w:t>
            </w:r>
          </w:p>
          <w:p w:rsidR="00D43F13" w:rsidRPr="00126FC6" w:rsidRDefault="00D43F13" w:rsidP="00D42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10%</w:t>
            </w:r>
          </w:p>
          <w:p w:rsidR="00D43F13" w:rsidRPr="00126FC6" w:rsidRDefault="00D43F13" w:rsidP="00D42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FC6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D43F13" w:rsidRPr="00126FC6" w:rsidTr="00D42709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F13" w:rsidRPr="00126FC6" w:rsidRDefault="00D43F13" w:rsidP="00D42709">
            <w:pPr>
              <w:snapToGri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10.6 Standard minim de performanţă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13" w:rsidRPr="00126FC6" w:rsidRDefault="00D43F13" w:rsidP="00D4270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26FC6">
              <w:rPr>
                <w:rFonts w:ascii="Arial" w:hAnsi="Arial" w:cs="Arial"/>
                <w:sz w:val="18"/>
                <w:szCs w:val="18"/>
                <w:lang w:val="ro-RO"/>
              </w:rPr>
              <w:t>3,5 puncte acumulate din evaluarea activităţilor periodice şi 1,5 puncte la evaluarea finală; Nota 5 la testul de verificare şi rezolvarea în proporţie de 50% a cerinţelor de la laborator.</w:t>
            </w:r>
          </w:p>
        </w:tc>
      </w:tr>
    </w:tbl>
    <w:p w:rsidR="00D43F13" w:rsidRPr="00126FC6" w:rsidRDefault="00D43F13" w:rsidP="00D43F13">
      <w:pPr>
        <w:rPr>
          <w:rFonts w:ascii="Arial" w:hAnsi="Arial" w:cs="Arial"/>
          <w:sz w:val="18"/>
          <w:szCs w:val="18"/>
        </w:rPr>
      </w:pPr>
    </w:p>
    <w:p w:rsidR="00D43F13" w:rsidRDefault="00D43F13" w:rsidP="00D43F13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completării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curs,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seminar / laborator,</w:t>
      </w:r>
    </w:p>
    <w:p w:rsidR="00D43F13" w:rsidRDefault="00D43F13" w:rsidP="00D43F13">
      <w:pPr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8"/>
          <w:lang w:val="ro-RO"/>
        </w:rPr>
        <w:t>30 septembrie 2016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="00C50D84">
        <w:rPr>
          <w:rFonts w:ascii="Arial" w:hAnsi="Arial" w:cs="Arial"/>
          <w:sz w:val="18"/>
          <w:szCs w:val="18"/>
          <w:lang w:val="ro-RO"/>
        </w:rPr>
        <w:t>Lect.univ.dr. Elena Popescu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Pr="00126FC6">
        <w:rPr>
          <w:rFonts w:ascii="Arial" w:eastAsia="Calibri" w:hAnsi="Arial" w:cs="Arial"/>
          <w:sz w:val="18"/>
          <w:szCs w:val="18"/>
        </w:rPr>
        <w:t xml:space="preserve">Asist.univ.dr. </w:t>
      </w:r>
      <w:r w:rsidR="00C50D84">
        <w:rPr>
          <w:rFonts w:ascii="Arial" w:eastAsia="Calibri" w:hAnsi="Arial" w:cs="Arial"/>
          <w:sz w:val="18"/>
          <w:szCs w:val="18"/>
        </w:rPr>
        <w:t>Gabriela Safta</w:t>
      </w:r>
      <w:r w:rsidRPr="00126FC6">
        <w:rPr>
          <w:rFonts w:ascii="Arial" w:eastAsia="Calibri" w:hAnsi="Arial" w:cs="Arial"/>
          <w:b/>
          <w:sz w:val="18"/>
          <w:szCs w:val="18"/>
        </w:rPr>
        <w:t xml:space="preserve">             </w:t>
      </w:r>
    </w:p>
    <w:p w:rsidR="00D43F13" w:rsidRPr="00372F32" w:rsidRDefault="00D43F13" w:rsidP="00D43F13">
      <w:pPr>
        <w:rPr>
          <w:rFonts w:ascii="Arial" w:hAnsi="Arial" w:cs="Arial"/>
          <w:sz w:val="16"/>
          <w:szCs w:val="16"/>
          <w:lang w:val="ro-RO"/>
        </w:rPr>
      </w:pPr>
    </w:p>
    <w:p w:rsidR="00D43F13" w:rsidRPr="00190023" w:rsidRDefault="00D43F13" w:rsidP="00D43F13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aprobării în Consiliul departamentului,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Director de departament,</w:t>
      </w:r>
      <w:r w:rsidRPr="00190023">
        <w:rPr>
          <w:rFonts w:ascii="Arial" w:hAnsi="Arial" w:cs="Arial"/>
          <w:sz w:val="18"/>
          <w:lang w:val="ro-RO"/>
        </w:rPr>
        <w:t xml:space="preserve"> 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Pr="00190023">
        <w:rPr>
          <w:rFonts w:ascii="Arial" w:hAnsi="Arial" w:cs="Arial"/>
          <w:sz w:val="18"/>
          <w:lang w:val="ro-RO"/>
        </w:rPr>
        <w:t>Director de departament</w:t>
      </w:r>
      <w:r>
        <w:rPr>
          <w:rFonts w:ascii="Arial" w:hAnsi="Arial" w:cs="Arial"/>
          <w:sz w:val="18"/>
          <w:lang w:val="ro-RO"/>
        </w:rPr>
        <w:t>,</w:t>
      </w:r>
    </w:p>
    <w:p w:rsidR="00D43F13" w:rsidRDefault="00D43F13" w:rsidP="00D43F13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 .......... Septembrie 2016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(prestator)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Pr="00190023">
        <w:rPr>
          <w:rFonts w:ascii="Arial" w:hAnsi="Arial" w:cs="Arial"/>
          <w:sz w:val="18"/>
          <w:lang w:val="ro-RO"/>
        </w:rPr>
        <w:t>(beneficiar),</w:t>
      </w:r>
    </w:p>
    <w:p w:rsidR="00D43F13" w:rsidRPr="004127DC" w:rsidRDefault="00D43F13" w:rsidP="00D43F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75"/>
        </w:tabs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 xml:space="preserve">   </w:t>
      </w:r>
      <w:r w:rsidRPr="004127DC">
        <w:rPr>
          <w:rFonts w:ascii="Arial" w:hAnsi="Arial" w:cs="Arial"/>
          <w:sz w:val="18"/>
          <w:szCs w:val="18"/>
          <w:lang w:val="ro-RO"/>
        </w:rPr>
        <w:t>Director de departament</w:t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  <w:t>-</w:t>
      </w:r>
    </w:p>
    <w:p w:rsidR="00D43F13" w:rsidRPr="004127DC" w:rsidRDefault="00D43F13" w:rsidP="00D43F13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  <w:t xml:space="preserve">         </w:t>
      </w:r>
      <w:r w:rsidRPr="004127DC">
        <w:rPr>
          <w:rFonts w:ascii="Arial" w:hAnsi="Arial" w:cs="Arial"/>
          <w:sz w:val="18"/>
          <w:szCs w:val="18"/>
          <w:lang w:val="ro-RO"/>
        </w:rPr>
        <w:t>Conf.univ.dr. Manuela CIUCUREL</w:t>
      </w:r>
    </w:p>
    <w:p w:rsidR="00D43F13" w:rsidRDefault="00D43F13" w:rsidP="00D43F13">
      <w:pPr>
        <w:rPr>
          <w:rFonts w:ascii="Arial" w:hAnsi="Arial" w:cs="Arial"/>
          <w:sz w:val="18"/>
          <w:szCs w:val="18"/>
          <w:lang w:val="ro-RO"/>
        </w:rPr>
      </w:pPr>
    </w:p>
    <w:p w:rsidR="00D43F13" w:rsidRPr="00126FC6" w:rsidRDefault="00D43F13" w:rsidP="00D43F13">
      <w:pPr>
        <w:tabs>
          <w:tab w:val="left" w:pos="6254"/>
        </w:tabs>
        <w:rPr>
          <w:rFonts w:ascii="Arial" w:eastAsia="Calibri" w:hAnsi="Arial" w:cs="Arial"/>
          <w:b/>
          <w:sz w:val="18"/>
          <w:szCs w:val="18"/>
        </w:rPr>
      </w:pPr>
    </w:p>
    <w:p w:rsidR="002F24EC" w:rsidRDefault="002F24EC"/>
    <w:sectPr w:rsidR="002F24EC" w:rsidSect="00A0654B">
      <w:footerReference w:type="default" r:id="rId7"/>
      <w:footerReference w:type="first" r:id="rId8"/>
      <w:pgSz w:w="11905" w:h="16837"/>
      <w:pgMar w:top="1134" w:right="1134" w:bottom="1134" w:left="1418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D3" w:rsidRDefault="00184BD3" w:rsidP="00A0654B">
      <w:r>
        <w:separator/>
      </w:r>
    </w:p>
  </w:endnote>
  <w:endnote w:type="continuationSeparator" w:id="1">
    <w:p w:rsidR="00184BD3" w:rsidRDefault="00184BD3" w:rsidP="00A0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68" w:rsidRDefault="009D65C6">
    <w:pPr>
      <w:pStyle w:val="Footer"/>
      <w:ind w:firstLine="48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pt;height:11.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46E68" w:rsidRDefault="009D65C6">
                <w:pPr>
                  <w:pStyle w:val="Footer"/>
                </w:pPr>
                <w:r>
                  <w:rPr>
                    <w:rStyle w:val="PageNumber"/>
                    <w:sz w:val="20"/>
                  </w:rPr>
                  <w:fldChar w:fldCharType="begin"/>
                </w:r>
                <w:r w:rsidR="008B5FA7">
                  <w:rPr>
                    <w:rStyle w:val="PageNumber"/>
                    <w:sz w:val="20"/>
                  </w:rPr>
                  <w:instrText xml:space="preserve"> PAGE </w:instrText>
                </w:r>
                <w:r>
                  <w:rPr>
                    <w:rStyle w:val="PageNumber"/>
                    <w:sz w:val="20"/>
                  </w:rPr>
                  <w:fldChar w:fldCharType="separate"/>
                </w:r>
                <w:r w:rsidR="00583FBE">
                  <w:rPr>
                    <w:rStyle w:val="PageNumber"/>
                    <w:noProof/>
                    <w:sz w:val="20"/>
                  </w:rPr>
                  <w:t>3</w:t>
                </w:r>
                <w:r>
                  <w:rPr>
                    <w:rStyle w:val="PageNumber"/>
                    <w:sz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B5FA7">
      <w:rPr>
        <w:sz w:val="20"/>
        <w:szCs w:val="20"/>
      </w:rPr>
      <w:t xml:space="preserve">/ </w:t>
    </w:r>
    <w:r>
      <w:rPr>
        <w:rStyle w:val="PageNumber"/>
        <w:sz w:val="20"/>
        <w:szCs w:val="20"/>
      </w:rPr>
      <w:fldChar w:fldCharType="begin"/>
    </w:r>
    <w:r w:rsidR="008B5FA7">
      <w:rPr>
        <w:rStyle w:val="PageNumber"/>
        <w:sz w:val="20"/>
        <w:szCs w:val="20"/>
      </w:rPr>
      <w:instrText xml:space="preserve"> NUMPAGES \*Arabic </w:instrText>
    </w:r>
    <w:r>
      <w:rPr>
        <w:rStyle w:val="PageNumber"/>
        <w:sz w:val="20"/>
        <w:szCs w:val="20"/>
      </w:rPr>
      <w:fldChar w:fldCharType="separate"/>
    </w:r>
    <w:r w:rsidR="00583FBE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68" w:rsidRDefault="00184B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D3" w:rsidRDefault="00184BD3" w:rsidP="00A0654B">
      <w:r>
        <w:separator/>
      </w:r>
    </w:p>
  </w:footnote>
  <w:footnote w:type="continuationSeparator" w:id="1">
    <w:p w:rsidR="00184BD3" w:rsidRDefault="00184BD3" w:rsidP="00A0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43F13"/>
    <w:rsid w:val="000030CF"/>
    <w:rsid w:val="00024D72"/>
    <w:rsid w:val="0003117F"/>
    <w:rsid w:val="00036E0B"/>
    <w:rsid w:val="00072609"/>
    <w:rsid w:val="0008545F"/>
    <w:rsid w:val="000B0B73"/>
    <w:rsid w:val="000D754C"/>
    <w:rsid w:val="000D7F86"/>
    <w:rsid w:val="00100884"/>
    <w:rsid w:val="0010330A"/>
    <w:rsid w:val="00137ECE"/>
    <w:rsid w:val="00147861"/>
    <w:rsid w:val="001510A2"/>
    <w:rsid w:val="0016209D"/>
    <w:rsid w:val="00170312"/>
    <w:rsid w:val="00177D48"/>
    <w:rsid w:val="00184BD3"/>
    <w:rsid w:val="001F56BE"/>
    <w:rsid w:val="00235B83"/>
    <w:rsid w:val="00276522"/>
    <w:rsid w:val="002842CD"/>
    <w:rsid w:val="002A3C16"/>
    <w:rsid w:val="002B1649"/>
    <w:rsid w:val="002F24EC"/>
    <w:rsid w:val="00303E0A"/>
    <w:rsid w:val="00307C6B"/>
    <w:rsid w:val="00325918"/>
    <w:rsid w:val="003308F4"/>
    <w:rsid w:val="003577A1"/>
    <w:rsid w:val="003A485B"/>
    <w:rsid w:val="003B1114"/>
    <w:rsid w:val="003C3711"/>
    <w:rsid w:val="003E262F"/>
    <w:rsid w:val="003F3817"/>
    <w:rsid w:val="00406CFC"/>
    <w:rsid w:val="00413861"/>
    <w:rsid w:val="004205EF"/>
    <w:rsid w:val="00450FE5"/>
    <w:rsid w:val="0046470A"/>
    <w:rsid w:val="004A3FB1"/>
    <w:rsid w:val="004B2FC9"/>
    <w:rsid w:val="004D261D"/>
    <w:rsid w:val="00506582"/>
    <w:rsid w:val="00521204"/>
    <w:rsid w:val="00523540"/>
    <w:rsid w:val="00531560"/>
    <w:rsid w:val="00544466"/>
    <w:rsid w:val="00583FBE"/>
    <w:rsid w:val="005903CD"/>
    <w:rsid w:val="005B4A3A"/>
    <w:rsid w:val="00604D62"/>
    <w:rsid w:val="00612BCE"/>
    <w:rsid w:val="006721A4"/>
    <w:rsid w:val="00683345"/>
    <w:rsid w:val="006A6A06"/>
    <w:rsid w:val="006A792D"/>
    <w:rsid w:val="006B28D6"/>
    <w:rsid w:val="006C291A"/>
    <w:rsid w:val="00712BE8"/>
    <w:rsid w:val="007143DC"/>
    <w:rsid w:val="007231CA"/>
    <w:rsid w:val="00741A3E"/>
    <w:rsid w:val="0075322A"/>
    <w:rsid w:val="0075792F"/>
    <w:rsid w:val="007831F5"/>
    <w:rsid w:val="00785441"/>
    <w:rsid w:val="007857CA"/>
    <w:rsid w:val="007B0FE3"/>
    <w:rsid w:val="007E3C54"/>
    <w:rsid w:val="007E5534"/>
    <w:rsid w:val="008042BE"/>
    <w:rsid w:val="00805A38"/>
    <w:rsid w:val="00827C7A"/>
    <w:rsid w:val="0083121B"/>
    <w:rsid w:val="00832814"/>
    <w:rsid w:val="008875CE"/>
    <w:rsid w:val="008920D6"/>
    <w:rsid w:val="00893495"/>
    <w:rsid w:val="008A5752"/>
    <w:rsid w:val="008B1140"/>
    <w:rsid w:val="008B5FA7"/>
    <w:rsid w:val="008B6DBA"/>
    <w:rsid w:val="008D6297"/>
    <w:rsid w:val="00930DEB"/>
    <w:rsid w:val="00946097"/>
    <w:rsid w:val="00987A79"/>
    <w:rsid w:val="00997D1E"/>
    <w:rsid w:val="009C732E"/>
    <w:rsid w:val="009D4BF2"/>
    <w:rsid w:val="009D65C6"/>
    <w:rsid w:val="009D7CCF"/>
    <w:rsid w:val="009E222C"/>
    <w:rsid w:val="00A0654B"/>
    <w:rsid w:val="00A0678F"/>
    <w:rsid w:val="00A21328"/>
    <w:rsid w:val="00A24DAD"/>
    <w:rsid w:val="00A5027D"/>
    <w:rsid w:val="00A55288"/>
    <w:rsid w:val="00AB6332"/>
    <w:rsid w:val="00AC45CD"/>
    <w:rsid w:val="00AC49DB"/>
    <w:rsid w:val="00AE00F2"/>
    <w:rsid w:val="00AE29B1"/>
    <w:rsid w:val="00B06DD4"/>
    <w:rsid w:val="00B10FB1"/>
    <w:rsid w:val="00B6742E"/>
    <w:rsid w:val="00B85155"/>
    <w:rsid w:val="00B87DE2"/>
    <w:rsid w:val="00BD3020"/>
    <w:rsid w:val="00C072BF"/>
    <w:rsid w:val="00C34014"/>
    <w:rsid w:val="00C36B0F"/>
    <w:rsid w:val="00C40224"/>
    <w:rsid w:val="00C429A8"/>
    <w:rsid w:val="00C4542C"/>
    <w:rsid w:val="00C50D84"/>
    <w:rsid w:val="00C5638A"/>
    <w:rsid w:val="00C73C03"/>
    <w:rsid w:val="00C85024"/>
    <w:rsid w:val="00C9646F"/>
    <w:rsid w:val="00CC34EC"/>
    <w:rsid w:val="00CC4ADA"/>
    <w:rsid w:val="00CD5C2E"/>
    <w:rsid w:val="00CD7D46"/>
    <w:rsid w:val="00CE230E"/>
    <w:rsid w:val="00CF167C"/>
    <w:rsid w:val="00D006DE"/>
    <w:rsid w:val="00D10C8C"/>
    <w:rsid w:val="00D2094C"/>
    <w:rsid w:val="00D21AFA"/>
    <w:rsid w:val="00D43F13"/>
    <w:rsid w:val="00D45978"/>
    <w:rsid w:val="00D47853"/>
    <w:rsid w:val="00D5361A"/>
    <w:rsid w:val="00D71F3D"/>
    <w:rsid w:val="00D95FE5"/>
    <w:rsid w:val="00D973AE"/>
    <w:rsid w:val="00DA4413"/>
    <w:rsid w:val="00E016F6"/>
    <w:rsid w:val="00E232BB"/>
    <w:rsid w:val="00E54480"/>
    <w:rsid w:val="00E545B2"/>
    <w:rsid w:val="00E57177"/>
    <w:rsid w:val="00E63950"/>
    <w:rsid w:val="00E8052D"/>
    <w:rsid w:val="00E95063"/>
    <w:rsid w:val="00E96AA2"/>
    <w:rsid w:val="00EA4D97"/>
    <w:rsid w:val="00EB471C"/>
    <w:rsid w:val="00EC4A5A"/>
    <w:rsid w:val="00EC4ECE"/>
    <w:rsid w:val="00EC7B85"/>
    <w:rsid w:val="00EE5F78"/>
    <w:rsid w:val="00EF7F9C"/>
    <w:rsid w:val="00F02FEB"/>
    <w:rsid w:val="00F338E6"/>
    <w:rsid w:val="00F454DA"/>
    <w:rsid w:val="00F477C0"/>
    <w:rsid w:val="00F5331B"/>
    <w:rsid w:val="00F91519"/>
    <w:rsid w:val="00FA73A6"/>
    <w:rsid w:val="00FE1968"/>
    <w:rsid w:val="00FF25C8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43F13"/>
  </w:style>
  <w:style w:type="paragraph" w:styleId="Header">
    <w:name w:val="header"/>
    <w:basedOn w:val="Normal"/>
    <w:link w:val="HeaderChar"/>
    <w:rsid w:val="00D43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3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43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3F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D43F13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2016-11-08T14:22:00Z</dcterms:created>
  <dcterms:modified xsi:type="dcterms:W3CDTF">2016-11-20T18:35:00Z</dcterms:modified>
</cp:coreProperties>
</file>